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137" w:rsidRDefault="002174C9" w:rsidP="007E6137">
      <w:pPr>
        <w:jc w:val="center"/>
      </w:pPr>
      <w:r>
        <w:t xml:space="preserve"> </w:t>
      </w:r>
      <w:r w:rsidR="007E6137" w:rsidRPr="00B80FC3">
        <w:rPr>
          <w:noProof/>
        </w:rPr>
        <w:drawing>
          <wp:inline distT="0" distB="0" distL="0" distR="0" wp14:anchorId="578853C1" wp14:editId="2401E53D">
            <wp:extent cx="4612943" cy="2595678"/>
            <wp:effectExtent l="0" t="0" r="0" b="0"/>
            <wp:docPr id="3" name="Picture 3" descr="Cartoon of the Day: San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of the Day: Sanit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3949" cy="2596244"/>
                    </a:xfrm>
                    <a:prstGeom prst="rect">
                      <a:avLst/>
                    </a:prstGeom>
                    <a:noFill/>
                    <a:ln>
                      <a:noFill/>
                    </a:ln>
                  </pic:spPr>
                </pic:pic>
              </a:graphicData>
            </a:graphic>
          </wp:inline>
        </w:drawing>
      </w:r>
      <w:r w:rsidR="007E6137">
        <w:rPr>
          <w:rStyle w:val="FootnoteReference"/>
        </w:rPr>
        <w:footnoteReference w:id="1"/>
      </w:r>
    </w:p>
    <w:p w:rsidR="007E6137" w:rsidRDefault="007E6137" w:rsidP="007E6137"/>
    <w:p w:rsidR="007E6137" w:rsidRDefault="007E6137" w:rsidP="007E6137">
      <w:pPr>
        <w:jc w:val="center"/>
        <w:rPr>
          <w:rFonts w:ascii="Cambria" w:hAnsi="Cambria"/>
          <w:sz w:val="36"/>
          <w:szCs w:val="36"/>
        </w:rPr>
      </w:pPr>
      <w:r>
        <w:rPr>
          <w:rFonts w:ascii="Cambria" w:hAnsi="Cambria"/>
          <w:sz w:val="36"/>
          <w:szCs w:val="36"/>
        </w:rPr>
        <w:t xml:space="preserve">FIRST QUARTER 2020 INVESTMENT ADVISORY </w:t>
      </w:r>
      <w:proofErr w:type="gramStart"/>
      <w:r>
        <w:rPr>
          <w:rFonts w:ascii="Cambria" w:hAnsi="Cambria"/>
          <w:sz w:val="36"/>
          <w:szCs w:val="36"/>
        </w:rPr>
        <w:t>REPORT</w:t>
      </w:r>
      <w:proofErr w:type="gramEnd"/>
    </w:p>
    <w:p w:rsidR="007E6137" w:rsidRDefault="007E6137" w:rsidP="007E6137">
      <w:pPr>
        <w:jc w:val="center"/>
        <w:rPr>
          <w:rFonts w:ascii="Cambria" w:hAnsi="Cambria"/>
          <w:i/>
          <w:sz w:val="28"/>
          <w:szCs w:val="28"/>
        </w:rPr>
      </w:pPr>
      <w:r w:rsidRPr="00D8246B">
        <w:rPr>
          <w:rFonts w:ascii="Cambria" w:hAnsi="Cambria"/>
          <w:i/>
          <w:sz w:val="28"/>
          <w:szCs w:val="28"/>
        </w:rPr>
        <w:t xml:space="preserve">~ </w:t>
      </w:r>
      <w:r>
        <w:rPr>
          <w:rFonts w:ascii="Cambria" w:hAnsi="Cambria"/>
          <w:i/>
          <w:sz w:val="28"/>
          <w:szCs w:val="28"/>
        </w:rPr>
        <w:t>It’s Easier to Stimulate Markets than the Economy!</w:t>
      </w:r>
    </w:p>
    <w:p w:rsidR="007E6137" w:rsidRDefault="007E6137" w:rsidP="007E6137"/>
    <w:p w:rsidR="007E6137" w:rsidRDefault="007E6137" w:rsidP="007E6137">
      <w:pPr>
        <w:rPr>
          <w:rFonts w:ascii="Times New Roman" w:hAnsi="Times New Roman"/>
          <w:sz w:val="24"/>
          <w:szCs w:val="24"/>
        </w:rPr>
      </w:pPr>
      <w:r w:rsidRPr="009A3F8D">
        <w:rPr>
          <w:rFonts w:ascii="Times New Roman" w:hAnsi="Times New Roman"/>
          <w:sz w:val="24"/>
          <w:szCs w:val="24"/>
        </w:rPr>
        <w:t xml:space="preserve">It’s truly a challenge to come up with superlatives adequate to describe recent market events.  As Lowry Research noted, “the 37% plunge in the DJIA in </w:t>
      </w:r>
      <w:proofErr w:type="gramStart"/>
      <w:r w:rsidRPr="009A3F8D">
        <w:rPr>
          <w:rFonts w:ascii="Times New Roman" w:hAnsi="Times New Roman"/>
          <w:sz w:val="24"/>
          <w:szCs w:val="24"/>
        </w:rPr>
        <w:t>under</w:t>
      </w:r>
      <w:proofErr w:type="gramEnd"/>
      <w:r w:rsidRPr="009A3F8D">
        <w:rPr>
          <w:rFonts w:ascii="Times New Roman" w:hAnsi="Times New Roman"/>
          <w:sz w:val="24"/>
          <w:szCs w:val="24"/>
        </w:rPr>
        <w:t xml:space="preserve"> 4 weeks puts the decline in the same conversation with the Crashes of 1929 and 1987… In fact, the eight 90% Down Days over an 18- day span represented the most intense period of selling since the 1940’s, when the market was much more illiquid and prone to frequent periods of high volatility.”</w:t>
      </w:r>
      <w:r w:rsidRPr="009A3F8D">
        <w:rPr>
          <w:rStyle w:val="FootnoteReference"/>
          <w:rFonts w:ascii="Times New Roman" w:hAnsi="Times New Roman"/>
          <w:sz w:val="24"/>
          <w:szCs w:val="24"/>
        </w:rPr>
        <w:footnoteReference w:id="2"/>
      </w:r>
      <w:r>
        <w:rPr>
          <w:rFonts w:ascii="Times New Roman" w:hAnsi="Times New Roman"/>
          <w:sz w:val="24"/>
          <w:szCs w:val="24"/>
        </w:rPr>
        <w:t xml:space="preserve"> However, March also saw some of the most intense up days in history.  After making an intraday low of 18,213.65, the Dow Jones Industrial Index rose over 4,338 points </w:t>
      </w:r>
      <w:r w:rsidRPr="00F8178D">
        <w:rPr>
          <w:rFonts w:ascii="Times New Roman" w:hAnsi="Times New Roman"/>
          <w:b/>
          <w:i/>
          <w:sz w:val="24"/>
          <w:szCs w:val="24"/>
        </w:rPr>
        <w:t>in 3 days</w:t>
      </w:r>
      <w:r>
        <w:rPr>
          <w:rFonts w:ascii="Times New Roman" w:hAnsi="Times New Roman"/>
          <w:sz w:val="24"/>
          <w:szCs w:val="24"/>
        </w:rPr>
        <w:t>, for a gain of over 24%!</w:t>
      </w:r>
      <w:r>
        <w:rPr>
          <w:rStyle w:val="FootnoteReference"/>
          <w:rFonts w:ascii="Times New Roman" w:hAnsi="Times New Roman"/>
          <w:sz w:val="24"/>
          <w:szCs w:val="24"/>
        </w:rPr>
        <w:footnoteReference w:id="3"/>
      </w:r>
      <w:r>
        <w:rPr>
          <w:rFonts w:ascii="Times New Roman" w:hAnsi="Times New Roman"/>
          <w:sz w:val="24"/>
          <w:szCs w:val="24"/>
        </w:rPr>
        <w:t xml:space="preserve">  “</w:t>
      </w:r>
      <w:r w:rsidRPr="00B31F92">
        <w:rPr>
          <w:rFonts w:ascii="Times New Roman" w:hAnsi="Times New Roman"/>
          <w:sz w:val="24"/>
          <w:szCs w:val="24"/>
        </w:rPr>
        <w:t>March, the worst month for US equities since the financial crisis, also had the best thr</w:t>
      </w:r>
      <w:r>
        <w:rPr>
          <w:rFonts w:ascii="Times New Roman" w:hAnsi="Times New Roman"/>
          <w:sz w:val="24"/>
          <w:szCs w:val="24"/>
        </w:rPr>
        <w:t>ee-day stretch since the 1930s” noted Goldman Sachs.</w:t>
      </w:r>
      <w:r>
        <w:rPr>
          <w:rStyle w:val="FootnoteReference"/>
          <w:rFonts w:ascii="Times New Roman" w:hAnsi="Times New Roman"/>
          <w:sz w:val="24"/>
          <w:szCs w:val="24"/>
        </w:rPr>
        <w:footnoteReference w:id="4"/>
      </w:r>
      <w:r>
        <w:rPr>
          <w:rFonts w:ascii="Times New Roman" w:hAnsi="Times New Roman"/>
          <w:sz w:val="24"/>
          <w:szCs w:val="24"/>
        </w:rPr>
        <w:t xml:space="preserve">  Bob Doll of Nuveen called the drop “unprecedented”, and observed that after climbing “44% from December 2018 to February 2020, stocks then </w:t>
      </w:r>
      <w:r>
        <w:rPr>
          <w:rFonts w:ascii="Times New Roman" w:hAnsi="Times New Roman"/>
          <w:sz w:val="24"/>
          <w:szCs w:val="24"/>
        </w:rPr>
        <w:lastRenderedPageBreak/>
        <w:t>dropped more than 20% in just 16 trading days making it the fastest bear market in history.”</w:t>
      </w:r>
      <w:r>
        <w:rPr>
          <w:rStyle w:val="FootnoteReference"/>
          <w:rFonts w:ascii="Times New Roman" w:hAnsi="Times New Roman"/>
          <w:sz w:val="24"/>
          <w:szCs w:val="24"/>
        </w:rPr>
        <w:footnoteReference w:id="5"/>
      </w:r>
      <w:r>
        <w:rPr>
          <w:rFonts w:ascii="Times New Roman" w:hAnsi="Times New Roman"/>
          <w:sz w:val="24"/>
          <w:szCs w:val="24"/>
        </w:rPr>
        <w:t xml:space="preserve"> When the dust settled, according to CNBC.com, t</w:t>
      </w:r>
      <w:r w:rsidRPr="00084C3A">
        <w:rPr>
          <w:rFonts w:ascii="Times New Roman" w:hAnsi="Times New Roman"/>
          <w:sz w:val="24"/>
          <w:szCs w:val="24"/>
        </w:rPr>
        <w:t xml:space="preserve">he Dow </w:t>
      </w:r>
      <w:r>
        <w:rPr>
          <w:rFonts w:ascii="Times New Roman" w:hAnsi="Times New Roman"/>
          <w:sz w:val="24"/>
          <w:szCs w:val="24"/>
        </w:rPr>
        <w:t>had a quarterly loss of -23.2%</w:t>
      </w:r>
      <w:r w:rsidRPr="00084C3A">
        <w:rPr>
          <w:rFonts w:ascii="Times New Roman" w:hAnsi="Times New Roman"/>
          <w:sz w:val="24"/>
          <w:szCs w:val="24"/>
        </w:rPr>
        <w:t>, its worst since the fourth quarter of 1987. It was the Dow’s worst first quarter ever.</w:t>
      </w:r>
      <w:r>
        <w:rPr>
          <w:rFonts w:ascii="Times New Roman" w:hAnsi="Times New Roman"/>
          <w:sz w:val="24"/>
          <w:szCs w:val="24"/>
        </w:rPr>
        <w:t xml:space="preserve">  And, t</w:t>
      </w:r>
      <w:r w:rsidRPr="00084C3A">
        <w:rPr>
          <w:rFonts w:ascii="Times New Roman" w:hAnsi="Times New Roman"/>
          <w:sz w:val="24"/>
          <w:szCs w:val="24"/>
        </w:rPr>
        <w:t>he</w:t>
      </w:r>
      <w:r>
        <w:rPr>
          <w:rFonts w:ascii="Times New Roman" w:hAnsi="Times New Roman"/>
          <w:sz w:val="24"/>
          <w:szCs w:val="24"/>
        </w:rPr>
        <w:t xml:space="preserve"> S&amp;P 500</w:t>
      </w:r>
      <w:r w:rsidRPr="00084C3A">
        <w:rPr>
          <w:rFonts w:ascii="Times New Roman" w:hAnsi="Times New Roman"/>
          <w:sz w:val="24"/>
          <w:szCs w:val="24"/>
        </w:rPr>
        <w:t xml:space="preserve"> index closed down 20%, its worst quarter since the fourth quarter of 2008</w:t>
      </w:r>
      <w:r>
        <w:rPr>
          <w:rFonts w:ascii="Times New Roman" w:hAnsi="Times New Roman"/>
          <w:sz w:val="24"/>
          <w:szCs w:val="24"/>
        </w:rPr>
        <w:t>.</w:t>
      </w:r>
      <w:r>
        <w:rPr>
          <w:rStyle w:val="FootnoteReference"/>
          <w:rFonts w:ascii="Times New Roman" w:hAnsi="Times New Roman"/>
          <w:sz w:val="24"/>
          <w:szCs w:val="24"/>
        </w:rPr>
        <w:footnoteReference w:id="6"/>
      </w:r>
      <w:r>
        <w:rPr>
          <w:rFonts w:ascii="Times New Roman" w:hAnsi="Times New Roman"/>
          <w:sz w:val="24"/>
          <w:szCs w:val="24"/>
        </w:rPr>
        <w:t xml:space="preserve">  They also quote research from</w:t>
      </w:r>
      <w:r w:rsidRPr="005E47CB">
        <w:rPr>
          <w:rFonts w:ascii="Times New Roman" w:hAnsi="Times New Roman"/>
          <w:sz w:val="24"/>
          <w:szCs w:val="24"/>
        </w:rPr>
        <w:t xml:space="preserve"> Bespoke Investment Group</w:t>
      </w:r>
      <w:r>
        <w:rPr>
          <w:rFonts w:ascii="Times New Roman" w:hAnsi="Times New Roman"/>
          <w:sz w:val="24"/>
          <w:szCs w:val="24"/>
        </w:rPr>
        <w:t xml:space="preserve"> stating, “</w:t>
      </w:r>
      <w:r w:rsidRPr="005E47CB">
        <w:rPr>
          <w:rFonts w:ascii="Times New Roman" w:hAnsi="Times New Roman"/>
          <w:sz w:val="24"/>
          <w:szCs w:val="24"/>
        </w:rPr>
        <w:t>March was the S&amp;P 500′s most volatile month ever</w:t>
      </w:r>
      <w:r>
        <w:rPr>
          <w:rFonts w:ascii="Times New Roman" w:hAnsi="Times New Roman"/>
          <w:sz w:val="24"/>
          <w:szCs w:val="24"/>
        </w:rPr>
        <w:t>…</w:t>
      </w:r>
      <w:r w:rsidRPr="005E47CB">
        <w:rPr>
          <w:rFonts w:ascii="Times New Roman" w:hAnsi="Times New Roman"/>
          <w:sz w:val="24"/>
          <w:szCs w:val="24"/>
        </w:rPr>
        <w:t>as frenetic swings whipsawed the market from steep gains to even steeper losses. During March, the benchmark index averaged a daily move, in either direction, of more than 4.8%.</w:t>
      </w:r>
      <w:r>
        <w:rPr>
          <w:rFonts w:ascii="Times New Roman" w:hAnsi="Times New Roman"/>
          <w:sz w:val="24"/>
          <w:szCs w:val="24"/>
        </w:rPr>
        <w:t>”</w:t>
      </w:r>
      <w:r>
        <w:rPr>
          <w:rStyle w:val="FootnoteReference"/>
          <w:rFonts w:ascii="Times New Roman" w:hAnsi="Times New Roman"/>
          <w:sz w:val="24"/>
          <w:szCs w:val="24"/>
        </w:rPr>
        <w:footnoteReference w:id="7"/>
      </w:r>
    </w:p>
    <w:p w:rsidR="007E6137" w:rsidRDefault="007E6137" w:rsidP="007E6137">
      <w:pPr>
        <w:jc w:val="center"/>
        <w:rPr>
          <w:rFonts w:ascii="Times New Roman" w:hAnsi="Times New Roman"/>
          <w:sz w:val="24"/>
          <w:szCs w:val="24"/>
        </w:rPr>
      </w:pPr>
      <w:r>
        <w:rPr>
          <w:noProof/>
        </w:rPr>
        <w:drawing>
          <wp:inline distT="0" distB="0" distL="0" distR="0" wp14:anchorId="77C40BA1" wp14:editId="36FF21B7">
            <wp:extent cx="4177285" cy="2115403"/>
            <wp:effectExtent l="0" t="0" r="0" b="0"/>
            <wp:docPr id="4" name="Picture 4"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image on 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7489" cy="2115506"/>
                    </a:xfrm>
                    <a:prstGeom prst="rect">
                      <a:avLst/>
                    </a:prstGeom>
                    <a:noFill/>
                    <a:ln>
                      <a:noFill/>
                    </a:ln>
                  </pic:spPr>
                </pic:pic>
              </a:graphicData>
            </a:graphic>
          </wp:inline>
        </w:drawing>
      </w:r>
    </w:p>
    <w:p w:rsidR="007E6137" w:rsidRDefault="007E6137" w:rsidP="007E6137">
      <w:pPr>
        <w:rPr>
          <w:rFonts w:ascii="Times New Roman" w:hAnsi="Times New Roman"/>
          <w:sz w:val="24"/>
          <w:szCs w:val="24"/>
        </w:rPr>
      </w:pPr>
      <w:r>
        <w:rPr>
          <w:rFonts w:ascii="Times New Roman" w:hAnsi="Times New Roman"/>
          <w:sz w:val="24"/>
          <w:szCs w:val="24"/>
        </w:rPr>
        <w:t>In looking ahead and trying to decipher the future, I was struck by a recent note from Howard Marks who wrote “</w:t>
      </w:r>
      <w:r w:rsidRPr="0044784B">
        <w:rPr>
          <w:rFonts w:ascii="Times New Roman" w:hAnsi="Times New Roman"/>
          <w:sz w:val="24"/>
          <w:szCs w:val="24"/>
        </w:rPr>
        <w:t>These days everyone has the same data regarding the present and the same ignorance regarding the future</w:t>
      </w:r>
      <w:r>
        <w:rPr>
          <w:rFonts w:ascii="Times New Roman" w:hAnsi="Times New Roman"/>
          <w:sz w:val="24"/>
          <w:szCs w:val="24"/>
        </w:rPr>
        <w:t>…”</w:t>
      </w:r>
      <w:r w:rsidRPr="0044784B">
        <w:rPr>
          <w:rFonts w:ascii="Times New Roman" w:hAnsi="Times New Roman"/>
          <w:sz w:val="24"/>
          <w:szCs w:val="24"/>
        </w:rPr>
        <w:t>Most of what we have today is opinion, and much of it tilts either optimistic or pessimistic.  The gulf in between is massive: if you read just the optimistic pieces, you’d think the virus will soon be eradicated and the economy brought back to health, and if you read just the negative ones, you’d think we’re all done for</w:t>
      </w:r>
      <w:r>
        <w:rPr>
          <w:rFonts w:ascii="Times New Roman" w:hAnsi="Times New Roman"/>
          <w:sz w:val="24"/>
          <w:szCs w:val="24"/>
        </w:rPr>
        <w:t>…</w:t>
      </w:r>
      <w:r w:rsidRPr="00FA463F">
        <w:t xml:space="preserve"> </w:t>
      </w:r>
      <w:r w:rsidRPr="00FA463F">
        <w:rPr>
          <w:rFonts w:ascii="Times New Roman" w:hAnsi="Times New Roman"/>
          <w:b/>
          <w:i/>
          <w:sz w:val="24"/>
          <w:szCs w:val="24"/>
        </w:rPr>
        <w:t>we have to consider our situation in the context of unprecedented uncertainty and the total absence of guidance from analogies to the past</w:t>
      </w:r>
      <w:r>
        <w:rPr>
          <w:rFonts w:ascii="Times New Roman" w:hAnsi="Times New Roman"/>
          <w:b/>
          <w:i/>
          <w:sz w:val="24"/>
          <w:szCs w:val="24"/>
        </w:rPr>
        <w:t xml:space="preserve">! </w:t>
      </w:r>
      <w:r>
        <w:rPr>
          <w:rFonts w:ascii="Times New Roman" w:hAnsi="Times New Roman"/>
          <w:sz w:val="24"/>
          <w:szCs w:val="24"/>
        </w:rPr>
        <w:t>(Emphasis added)</w:t>
      </w:r>
      <w:r w:rsidRPr="00FA463F">
        <w:rPr>
          <w:rFonts w:ascii="Times New Roman" w:hAnsi="Times New Roman"/>
          <w:sz w:val="24"/>
          <w:szCs w:val="24"/>
        </w:rPr>
        <w:t>”</w:t>
      </w:r>
      <w:r>
        <w:rPr>
          <w:rStyle w:val="FootnoteReference"/>
          <w:rFonts w:ascii="Times New Roman" w:hAnsi="Times New Roman"/>
          <w:sz w:val="24"/>
          <w:szCs w:val="24"/>
        </w:rPr>
        <w:footnoteReference w:id="8"/>
      </w:r>
    </w:p>
    <w:p w:rsidR="007E6137" w:rsidRDefault="007E6137" w:rsidP="007E6137">
      <w:pPr>
        <w:rPr>
          <w:rFonts w:ascii="Times New Roman" w:hAnsi="Times New Roman"/>
          <w:sz w:val="24"/>
          <w:szCs w:val="24"/>
        </w:rPr>
      </w:pPr>
      <w:r>
        <w:rPr>
          <w:rFonts w:ascii="Times New Roman" w:hAnsi="Times New Roman"/>
          <w:sz w:val="24"/>
          <w:szCs w:val="24"/>
        </w:rPr>
        <w:t xml:space="preserve">We’d disagree slightly regarding a “total absence of guidance from the past.”  The preconditions for recent events – at least regarding the financial markets behavior – have been discussed at length in past reports.  Specifically, we’re at the tail end of a long term debt cycle dating back to the 1930’s.  Further, it cannot be overemphasized that </w:t>
      </w:r>
      <w:r w:rsidRPr="00BB0586">
        <w:rPr>
          <w:rFonts w:ascii="Times New Roman" w:hAnsi="Times New Roman"/>
          <w:b/>
          <w:i/>
          <w:sz w:val="24"/>
          <w:szCs w:val="24"/>
          <w:u w:val="single"/>
        </w:rPr>
        <w:t>the economy was already slowing even before the coronavirus struck</w:t>
      </w:r>
      <w:r>
        <w:rPr>
          <w:rFonts w:ascii="Times New Roman" w:hAnsi="Times New Roman"/>
          <w:sz w:val="24"/>
          <w:szCs w:val="24"/>
        </w:rPr>
        <w:t xml:space="preserve">.  In last quarters report we noted “As the perennially bullish Ed Yardeni observed this past December, ‘…while inflation in the major economies remains </w:t>
      </w:r>
      <w:r>
        <w:rPr>
          <w:rFonts w:ascii="Times New Roman" w:hAnsi="Times New Roman"/>
          <w:sz w:val="24"/>
          <w:szCs w:val="24"/>
        </w:rPr>
        <w:lastRenderedPageBreak/>
        <w:t xml:space="preserve">comatose…more global economic indicators are showing some signs of life.  However, post-bottom growth appears so far to be tracing an L-shape recovery rather than either a U-shape or V-shape one.  This is consistent with our view that global growth is being weighed down by </w:t>
      </w:r>
      <w:r w:rsidRPr="00511EE3">
        <w:rPr>
          <w:rFonts w:ascii="Times New Roman" w:hAnsi="Times New Roman"/>
          <w:b/>
          <w:i/>
          <w:sz w:val="24"/>
          <w:szCs w:val="24"/>
        </w:rPr>
        <w:t>aging demographic trends and too much debt</w:t>
      </w:r>
      <w:r>
        <w:rPr>
          <w:rFonts w:ascii="Times New Roman" w:hAnsi="Times New Roman"/>
          <w:sz w:val="24"/>
          <w:szCs w:val="24"/>
        </w:rPr>
        <w:t xml:space="preserve">’ (emphasis added).” </w:t>
      </w:r>
    </w:p>
    <w:p w:rsidR="007E6137" w:rsidRDefault="007E6137" w:rsidP="007E6137">
      <w:pPr>
        <w:rPr>
          <w:rFonts w:ascii="Times New Roman" w:hAnsi="Times New Roman"/>
          <w:sz w:val="24"/>
          <w:szCs w:val="24"/>
        </w:rPr>
      </w:pPr>
      <w:r>
        <w:rPr>
          <w:rFonts w:ascii="Times New Roman" w:hAnsi="Times New Roman"/>
          <w:sz w:val="24"/>
          <w:szCs w:val="24"/>
        </w:rPr>
        <w:t>Regarding the “too much debt” part, we cited recent commentary from Wolf Richter concerning US consumer debt.  He notes that “(although) Americans have become more prudent when it comes to credit card balances and other revolving credit, nevertheless, the ‘…</w:t>
      </w:r>
      <w:r w:rsidRPr="008D5DF1">
        <w:rPr>
          <w:rFonts w:ascii="Times New Roman" w:hAnsi="Times New Roman"/>
          <w:sz w:val="24"/>
          <w:szCs w:val="24"/>
        </w:rPr>
        <w:t>$187 billion increase in consumer debt in 2019 amounted to nearly a quarter of the $849 billion increase in nominal GDP over the same period.</w:t>
      </w:r>
      <w:r>
        <w:rPr>
          <w:rFonts w:ascii="Times New Roman" w:hAnsi="Times New Roman"/>
          <w:sz w:val="24"/>
          <w:szCs w:val="24"/>
        </w:rPr>
        <w:t xml:space="preserve">  </w:t>
      </w:r>
      <w:r w:rsidRPr="008D5DF1">
        <w:rPr>
          <w:rFonts w:ascii="Times New Roman" w:hAnsi="Times New Roman"/>
          <w:sz w:val="24"/>
          <w:szCs w:val="24"/>
        </w:rPr>
        <w:t>Without this $187 billion in additional spending funded by $187 billion in additional debt, the US economy would not have grown 2.3% in 2019, but only about 1.8%.</w:t>
      </w:r>
      <w:r>
        <w:rPr>
          <w:rFonts w:ascii="Times New Roman" w:hAnsi="Times New Roman"/>
          <w:sz w:val="24"/>
          <w:szCs w:val="24"/>
        </w:rPr>
        <w:t>’ ”</w:t>
      </w:r>
    </w:p>
    <w:p w:rsidR="007E6137" w:rsidRDefault="007E6137" w:rsidP="007E6137">
      <w:pPr>
        <w:rPr>
          <w:rFonts w:ascii="Times New Roman" w:hAnsi="Times New Roman"/>
          <w:sz w:val="24"/>
          <w:szCs w:val="24"/>
        </w:rPr>
      </w:pPr>
      <w:r>
        <w:rPr>
          <w:rFonts w:ascii="Times New Roman" w:hAnsi="Times New Roman"/>
          <w:sz w:val="24"/>
          <w:szCs w:val="24"/>
        </w:rPr>
        <w:t xml:space="preserve">And we could just as easily looked at US corporate debt, federal debt, state &amp; local debt, and so on.  But, let’s just skip to total global, worldwide debt, because the story is essentially the same everywhere one looks.  </w:t>
      </w:r>
      <w:r w:rsidRPr="002D2B28">
        <w:rPr>
          <w:rFonts w:ascii="Times New Roman" w:hAnsi="Times New Roman"/>
          <w:sz w:val="24"/>
          <w:szCs w:val="24"/>
        </w:rPr>
        <w:t>The Institute of International Finance</w:t>
      </w:r>
      <w:r>
        <w:rPr>
          <w:rFonts w:ascii="Times New Roman" w:hAnsi="Times New Roman"/>
          <w:sz w:val="24"/>
          <w:szCs w:val="24"/>
        </w:rPr>
        <w:t xml:space="preserve"> (IIF)</w:t>
      </w:r>
      <w:r w:rsidRPr="002D2B28">
        <w:rPr>
          <w:rFonts w:ascii="Times New Roman" w:hAnsi="Times New Roman"/>
          <w:sz w:val="24"/>
          <w:szCs w:val="24"/>
        </w:rPr>
        <w:t xml:space="preserve"> is a global association of financial institutions. It was created in 1983 to</w:t>
      </w:r>
      <w:r>
        <w:rPr>
          <w:rFonts w:ascii="Times New Roman" w:hAnsi="Times New Roman"/>
          <w:sz w:val="24"/>
          <w:szCs w:val="24"/>
        </w:rPr>
        <w:t xml:space="preserve"> address</w:t>
      </w:r>
      <w:r w:rsidRPr="002D2B28">
        <w:rPr>
          <w:rFonts w:ascii="Times New Roman" w:hAnsi="Times New Roman"/>
          <w:sz w:val="24"/>
          <w:szCs w:val="24"/>
        </w:rPr>
        <w:t xml:space="preserve"> the </w:t>
      </w:r>
      <w:r>
        <w:rPr>
          <w:rFonts w:ascii="Times New Roman" w:hAnsi="Times New Roman"/>
          <w:sz w:val="24"/>
          <w:szCs w:val="24"/>
        </w:rPr>
        <w:t>glob</w:t>
      </w:r>
      <w:r w:rsidRPr="002D2B28">
        <w:rPr>
          <w:rFonts w:ascii="Times New Roman" w:hAnsi="Times New Roman"/>
          <w:sz w:val="24"/>
          <w:szCs w:val="24"/>
        </w:rPr>
        <w:t>al debt crisis of the early 1980s.</w:t>
      </w:r>
      <w:r>
        <w:rPr>
          <w:rFonts w:ascii="Times New Roman" w:hAnsi="Times New Roman"/>
          <w:sz w:val="24"/>
          <w:szCs w:val="24"/>
        </w:rPr>
        <w:t xml:space="preserve">  Today, according to Wikipedia, they have close to 500 members from 70 countries.</w:t>
      </w:r>
      <w:r>
        <w:rPr>
          <w:rStyle w:val="FootnoteReference"/>
          <w:rFonts w:ascii="Times New Roman" w:hAnsi="Times New Roman"/>
          <w:sz w:val="24"/>
          <w:szCs w:val="24"/>
        </w:rPr>
        <w:footnoteReference w:id="9"/>
      </w:r>
      <w:r>
        <w:rPr>
          <w:rFonts w:ascii="Times New Roman" w:hAnsi="Times New Roman"/>
          <w:sz w:val="24"/>
          <w:szCs w:val="24"/>
        </w:rPr>
        <w:t xml:space="preserve">  According to their recent reporting, “</w:t>
      </w:r>
      <w:r w:rsidRPr="00A777AC">
        <w:rPr>
          <w:rFonts w:ascii="Times New Roman" w:hAnsi="Times New Roman"/>
          <w:sz w:val="24"/>
          <w:szCs w:val="24"/>
        </w:rPr>
        <w:t>Total worldwide debt sat close to a record $253 trillion by the end of September, boosted mainly by higher borrowing by government</w:t>
      </w:r>
      <w:r>
        <w:rPr>
          <w:rFonts w:ascii="Times New Roman" w:hAnsi="Times New Roman"/>
          <w:sz w:val="24"/>
          <w:szCs w:val="24"/>
        </w:rPr>
        <w:t>s and non-financial corporates…</w:t>
      </w:r>
      <w:r w:rsidRPr="00A777AC">
        <w:rPr>
          <w:rFonts w:ascii="Helvetica" w:hAnsi="Helvetica"/>
          <w:color w:val="000000"/>
          <w:sz w:val="27"/>
          <w:szCs w:val="27"/>
        </w:rPr>
        <w:t xml:space="preserve"> </w:t>
      </w:r>
      <w:r w:rsidRPr="00A777AC">
        <w:rPr>
          <w:rFonts w:ascii="Times New Roman" w:hAnsi="Times New Roman"/>
          <w:sz w:val="24"/>
          <w:szCs w:val="24"/>
        </w:rPr>
        <w:t>Spurred by low interest rates and loose financial conditions, we estimate that total global debt will exceed $257 trillion in the first quarter of 2020, driven mainly by non-financial sector debt</w:t>
      </w:r>
      <w:r>
        <w:rPr>
          <w:rFonts w:ascii="Times New Roman" w:hAnsi="Times New Roman"/>
          <w:sz w:val="24"/>
          <w:szCs w:val="24"/>
        </w:rPr>
        <w:t>.”</w:t>
      </w:r>
      <w:r>
        <w:rPr>
          <w:rStyle w:val="FootnoteReference"/>
          <w:rFonts w:ascii="Times New Roman" w:hAnsi="Times New Roman"/>
          <w:sz w:val="24"/>
          <w:szCs w:val="24"/>
        </w:rPr>
        <w:footnoteReference w:id="10"/>
      </w:r>
      <w:r>
        <w:rPr>
          <w:rFonts w:ascii="Times New Roman" w:hAnsi="Times New Roman"/>
          <w:sz w:val="24"/>
          <w:szCs w:val="24"/>
        </w:rPr>
        <w:t xml:space="preserve">  Unfortunately, according to the World Bank, actual economic output as measured by GDP was only $85.9 trillion (as of 2018).</w:t>
      </w:r>
      <w:r>
        <w:rPr>
          <w:rStyle w:val="FootnoteReference"/>
          <w:rFonts w:ascii="Times New Roman" w:hAnsi="Times New Roman"/>
          <w:sz w:val="24"/>
          <w:szCs w:val="24"/>
        </w:rPr>
        <w:footnoteReference w:id="11"/>
      </w:r>
      <w:r>
        <w:rPr>
          <w:rFonts w:ascii="Times New Roman" w:hAnsi="Times New Roman"/>
          <w:sz w:val="24"/>
          <w:szCs w:val="24"/>
        </w:rPr>
        <w:t xml:space="preserve">  The IIF estimates that global debt to GDP “</w:t>
      </w:r>
      <w:r w:rsidRPr="00531BD3">
        <w:rPr>
          <w:rFonts w:ascii="Times New Roman" w:hAnsi="Times New Roman"/>
          <w:sz w:val="24"/>
          <w:szCs w:val="24"/>
        </w:rPr>
        <w:t>hit another all-time high of over 322% in the third quarter of 2019 and it is set to keep growing</w:t>
      </w:r>
      <w:r>
        <w:rPr>
          <w:rFonts w:ascii="Times New Roman" w:hAnsi="Times New Roman"/>
          <w:sz w:val="24"/>
          <w:szCs w:val="24"/>
        </w:rPr>
        <w:t>”</w:t>
      </w:r>
      <w:r>
        <w:rPr>
          <w:rStyle w:val="FootnoteReference"/>
          <w:rFonts w:ascii="Times New Roman" w:hAnsi="Times New Roman"/>
          <w:sz w:val="24"/>
          <w:szCs w:val="24"/>
        </w:rPr>
        <w:footnoteReference w:id="12"/>
      </w:r>
      <w:r>
        <w:rPr>
          <w:rFonts w:ascii="Times New Roman" w:hAnsi="Times New Roman"/>
          <w:sz w:val="24"/>
          <w:szCs w:val="24"/>
        </w:rPr>
        <w:t xml:space="preserve">  The below chart is a year or two behind, but the trend is evident nonetheless.  It shows the brief correction after the 2008 financial crisis and, if the current data point of 322% was included, the ratio (red line) would be well into new all-time highs).</w:t>
      </w:r>
      <w:r>
        <w:rPr>
          <w:rStyle w:val="FootnoteReference"/>
          <w:rFonts w:ascii="Times New Roman" w:hAnsi="Times New Roman"/>
          <w:sz w:val="24"/>
          <w:szCs w:val="24"/>
        </w:rPr>
        <w:footnoteReference w:id="13"/>
      </w:r>
      <w:r>
        <w:rPr>
          <w:rFonts w:ascii="Times New Roman" w:hAnsi="Times New Roman"/>
          <w:sz w:val="24"/>
          <w:szCs w:val="24"/>
        </w:rPr>
        <w:t xml:space="preserve"> </w:t>
      </w:r>
    </w:p>
    <w:p w:rsidR="007E6137" w:rsidRDefault="007E6137" w:rsidP="007E6137">
      <w:pPr>
        <w:jc w:val="center"/>
        <w:rPr>
          <w:rFonts w:ascii="Times New Roman" w:hAnsi="Times New Roman"/>
          <w:sz w:val="24"/>
          <w:szCs w:val="24"/>
        </w:rPr>
      </w:pPr>
      <w:r w:rsidRPr="0019467C">
        <w:rPr>
          <w:rFonts w:ascii="Times New Roman" w:hAnsi="Times New Roman"/>
          <w:noProof/>
          <w:sz w:val="24"/>
          <w:szCs w:val="24"/>
        </w:rPr>
        <w:lastRenderedPageBreak/>
        <w:drawing>
          <wp:inline distT="0" distB="0" distL="0" distR="0" wp14:anchorId="74BD377A" wp14:editId="1A0646E6">
            <wp:extent cx="3194044" cy="2449773"/>
            <wp:effectExtent l="0" t="0" r="6985" b="8255"/>
            <wp:docPr id="5" name="Picture 5" descr="Total Owed Global Credit Market Debt, 1950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tal Owed Global Credit Market Debt, 1950 - 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541" cy="2448620"/>
                    </a:xfrm>
                    <a:prstGeom prst="rect">
                      <a:avLst/>
                    </a:prstGeom>
                    <a:noFill/>
                    <a:ln>
                      <a:noFill/>
                    </a:ln>
                  </pic:spPr>
                </pic:pic>
              </a:graphicData>
            </a:graphic>
          </wp:inline>
        </w:drawing>
      </w:r>
    </w:p>
    <w:p w:rsidR="007E6137" w:rsidRDefault="007E6137" w:rsidP="007E6137">
      <w:pPr>
        <w:rPr>
          <w:rFonts w:ascii="Times New Roman" w:hAnsi="Times New Roman"/>
          <w:sz w:val="24"/>
          <w:szCs w:val="24"/>
        </w:rPr>
      </w:pPr>
      <w:r>
        <w:rPr>
          <w:rFonts w:ascii="Times New Roman" w:hAnsi="Times New Roman"/>
          <w:sz w:val="24"/>
          <w:szCs w:val="24"/>
        </w:rPr>
        <w:t xml:space="preserve">As mentioned above, this massive debt issuance is occurring against a backdrop of global growth that was already slowing. A recent FT article entitled “Global Outlook Collapsing </w:t>
      </w:r>
      <w:proofErr w:type="gramStart"/>
      <w:r>
        <w:rPr>
          <w:rFonts w:ascii="Times New Roman" w:hAnsi="Times New Roman"/>
          <w:sz w:val="24"/>
          <w:szCs w:val="24"/>
        </w:rPr>
        <w:t>Before</w:t>
      </w:r>
      <w:proofErr w:type="gramEnd"/>
      <w:r>
        <w:rPr>
          <w:rFonts w:ascii="Times New Roman" w:hAnsi="Times New Roman"/>
          <w:sz w:val="24"/>
          <w:szCs w:val="24"/>
        </w:rPr>
        <w:t xml:space="preserve"> Crisis”, reports on the latest results from the Brookings-FT Tracking Index for the Global Economic Recovery (TIGER).  The index “compares indicators of real activity, financial markets and investor confidence with their historical averages for the global economy and individual countries.  It showed historically large declines across financial indicators, real economic data and confidence indicators in March, well before the worst effects of the pandemic on the economies of most countries.”</w:t>
      </w:r>
      <w:r>
        <w:rPr>
          <w:rStyle w:val="FootnoteReference"/>
          <w:rFonts w:ascii="Times New Roman" w:hAnsi="Times New Roman"/>
          <w:sz w:val="24"/>
          <w:szCs w:val="24"/>
        </w:rPr>
        <w:footnoteReference w:id="14"/>
      </w:r>
    </w:p>
    <w:p w:rsidR="007E6137" w:rsidRDefault="007E6137" w:rsidP="007E6137">
      <w:pPr>
        <w:jc w:val="center"/>
        <w:rPr>
          <w:rFonts w:ascii="Times New Roman" w:hAnsi="Times New Roman"/>
          <w:sz w:val="24"/>
          <w:szCs w:val="24"/>
        </w:rPr>
      </w:pPr>
      <w:r w:rsidRPr="00D24B4D">
        <w:rPr>
          <w:rFonts w:ascii="Times New Roman" w:hAnsi="Times New Roman"/>
          <w:noProof/>
          <w:sz w:val="24"/>
          <w:szCs w:val="24"/>
        </w:rPr>
        <w:drawing>
          <wp:inline distT="0" distB="0" distL="0" distR="0" wp14:anchorId="7DDA9787" wp14:editId="45F41C2A">
            <wp:extent cx="3016155" cy="2154889"/>
            <wp:effectExtent l="0" t="0" r="0" b="0"/>
            <wp:docPr id="7" name="Picture 7" descr="Line chart of Composite index of relative strength of a range of indicators showing A global economy on the cliff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e chart of Composite index of relative strength of a range of indicators showing A global economy on the cliff e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155" cy="2154889"/>
                    </a:xfrm>
                    <a:prstGeom prst="rect">
                      <a:avLst/>
                    </a:prstGeom>
                    <a:noFill/>
                    <a:ln>
                      <a:noFill/>
                    </a:ln>
                  </pic:spPr>
                </pic:pic>
              </a:graphicData>
            </a:graphic>
          </wp:inline>
        </w:drawing>
      </w:r>
      <w:r>
        <w:rPr>
          <w:rStyle w:val="FootnoteReference"/>
          <w:rFonts w:ascii="Times New Roman" w:hAnsi="Times New Roman"/>
          <w:sz w:val="24"/>
          <w:szCs w:val="24"/>
        </w:rPr>
        <w:footnoteReference w:id="15"/>
      </w:r>
    </w:p>
    <w:p w:rsidR="007E6137" w:rsidRDefault="007E6137" w:rsidP="007E6137">
      <w:pPr>
        <w:rPr>
          <w:rFonts w:ascii="Times New Roman" w:hAnsi="Times New Roman"/>
          <w:sz w:val="24"/>
          <w:szCs w:val="24"/>
        </w:rPr>
      </w:pPr>
      <w:r>
        <w:rPr>
          <w:rFonts w:ascii="Times New Roman" w:hAnsi="Times New Roman"/>
          <w:sz w:val="24"/>
          <w:szCs w:val="24"/>
        </w:rPr>
        <w:t xml:space="preserve">So there we are.  A world awash in a swelling sea of debt, dwarfing the amount of output needed to generate the income to service the debt (let alone repay it), and the growth of that output has </w:t>
      </w:r>
      <w:r>
        <w:rPr>
          <w:rFonts w:ascii="Times New Roman" w:hAnsi="Times New Roman"/>
          <w:sz w:val="24"/>
          <w:szCs w:val="24"/>
        </w:rPr>
        <w:lastRenderedPageBreak/>
        <w:t>been declining.  What could possibly go wrong?  Then throw in a global pandemic and it really gets interesting.</w:t>
      </w:r>
    </w:p>
    <w:p w:rsidR="007E6137" w:rsidRDefault="007E6137" w:rsidP="007E6137">
      <w:pPr>
        <w:rPr>
          <w:rFonts w:ascii="Times New Roman" w:hAnsi="Times New Roman"/>
          <w:sz w:val="24"/>
          <w:szCs w:val="24"/>
        </w:rPr>
      </w:pPr>
      <w:r>
        <w:rPr>
          <w:rFonts w:ascii="Times New Roman" w:hAnsi="Times New Roman"/>
          <w:sz w:val="24"/>
          <w:szCs w:val="24"/>
        </w:rPr>
        <w:t>Bob Rodriguez is a retired, award winning fund manager who ran top notch equity and fixed income portfolios for FPA Capital.  He is an ever-astute observer of the financial markets.  He recently wrote a letter entitled “Preliminary Thoughts – the New World Order”.  He writes;</w:t>
      </w:r>
    </w:p>
    <w:p w:rsidR="007E6137" w:rsidRDefault="007E6137" w:rsidP="007E6137">
      <w:pPr>
        <w:ind w:left="720"/>
        <w:rPr>
          <w:rFonts w:ascii="Times New Roman" w:hAnsi="Times New Roman"/>
          <w:sz w:val="24"/>
          <w:szCs w:val="24"/>
        </w:rPr>
      </w:pPr>
      <w:r>
        <w:rPr>
          <w:rFonts w:ascii="Times New Roman" w:hAnsi="Times New Roman"/>
          <w:sz w:val="24"/>
          <w:szCs w:val="24"/>
        </w:rPr>
        <w:t xml:space="preserve"> “</w:t>
      </w:r>
      <w:r w:rsidRPr="00B141C2">
        <w:rPr>
          <w:rFonts w:ascii="Times New Roman" w:hAnsi="Times New Roman"/>
          <w:sz w:val="24"/>
          <w:szCs w:val="24"/>
        </w:rPr>
        <w:t>Though the virus pandemic has been tumultuous, challenging and with little precedence, from a capital market perspective, this market collapse was quite predictable. Capital market excesses became pervasive in ways that were also unprecedented.</w:t>
      </w:r>
      <w:r>
        <w:rPr>
          <w:rFonts w:ascii="Times New Roman" w:hAnsi="Times New Roman"/>
          <w:sz w:val="24"/>
          <w:szCs w:val="24"/>
        </w:rPr>
        <w:t xml:space="preserve"> </w:t>
      </w:r>
      <w:r w:rsidRPr="00B141C2">
        <w:rPr>
          <w:rFonts w:ascii="Times New Roman" w:hAnsi="Times New Roman"/>
          <w:sz w:val="24"/>
          <w:szCs w:val="24"/>
        </w:rPr>
        <w:t>Zombie companies, corporate operating strategies that elevated financial risk to extreme levels and consumers who also became highly leveraged were the accepted actions of the day</w:t>
      </w:r>
      <w:r>
        <w:rPr>
          <w:rFonts w:ascii="Times New Roman" w:hAnsi="Times New Roman"/>
          <w:sz w:val="24"/>
          <w:szCs w:val="24"/>
        </w:rPr>
        <w:t>..</w:t>
      </w:r>
      <w:r w:rsidRPr="00B141C2">
        <w:rPr>
          <w:rFonts w:ascii="Times New Roman" w:hAnsi="Times New Roman"/>
          <w:sz w:val="24"/>
          <w:szCs w:val="24"/>
        </w:rPr>
        <w:t>.</w:t>
      </w:r>
    </w:p>
    <w:p w:rsidR="007E6137" w:rsidRDefault="007E6137" w:rsidP="007E6137">
      <w:pPr>
        <w:ind w:left="720"/>
        <w:rPr>
          <w:rFonts w:ascii="Times New Roman" w:hAnsi="Times New Roman"/>
          <w:sz w:val="24"/>
          <w:szCs w:val="24"/>
        </w:rPr>
      </w:pPr>
      <w:r w:rsidRPr="00B141C2">
        <w:rPr>
          <w:rFonts w:ascii="Times New Roman" w:hAnsi="Times New Roman"/>
          <w:sz w:val="24"/>
          <w:szCs w:val="24"/>
        </w:rPr>
        <w:t>Our economic and financial market systems were not prepared with appropriate “rainy day reserves” to withstand an exogenous shock. Balance sheets were stretched in all economic sectors. The shock to the US economy by the bombing of Pearl Harbor and the beginning of WW2 was more traumatic and of greater magnitude than what we are experiencing now and it would also last longer. However, after 12 years of Depression, the financial system was cleansed of speculative excesses that allowed for a financial re-leveraging of the economy to fight the war. After the carnage was over, the economy was able to grow out of an extreme leverage position. In contrast to then, this is not the case today, given that the economy is already extremely leveraged prior to the onset of the crisis</w:t>
      </w:r>
      <w:r>
        <w:rPr>
          <w:rFonts w:ascii="Times New Roman" w:hAnsi="Times New Roman"/>
          <w:sz w:val="24"/>
          <w:szCs w:val="24"/>
        </w:rPr>
        <w:t>…”</w:t>
      </w:r>
      <w:r>
        <w:rPr>
          <w:rStyle w:val="FootnoteReference"/>
          <w:rFonts w:ascii="Times New Roman" w:hAnsi="Times New Roman"/>
          <w:sz w:val="24"/>
          <w:szCs w:val="24"/>
        </w:rPr>
        <w:footnoteReference w:id="16"/>
      </w:r>
    </w:p>
    <w:p w:rsidR="007E6137" w:rsidRDefault="007E6137" w:rsidP="007E6137">
      <w:pPr>
        <w:rPr>
          <w:rFonts w:ascii="Times New Roman" w:hAnsi="Times New Roman"/>
          <w:sz w:val="24"/>
          <w:szCs w:val="24"/>
        </w:rPr>
      </w:pPr>
      <w:r>
        <w:rPr>
          <w:rFonts w:ascii="Times New Roman" w:hAnsi="Times New Roman"/>
          <w:sz w:val="24"/>
          <w:szCs w:val="24"/>
        </w:rPr>
        <w:t>There are many ways of depicting the current carnage, but a few charts from Hedgeye research paint a pretty good picture:</w:t>
      </w:r>
    </w:p>
    <w:p w:rsidR="007E6137" w:rsidRDefault="007E6137" w:rsidP="007E6137">
      <w:pPr>
        <w:jc w:val="center"/>
        <w:rPr>
          <w:rFonts w:ascii="Times New Roman" w:hAnsi="Times New Roman"/>
          <w:sz w:val="24"/>
          <w:szCs w:val="24"/>
        </w:rPr>
      </w:pPr>
      <w:r w:rsidRPr="007A491B">
        <w:rPr>
          <w:rFonts w:ascii="Times New Roman" w:hAnsi="Times New Roman"/>
          <w:noProof/>
          <w:sz w:val="24"/>
          <w:szCs w:val="24"/>
        </w:rPr>
        <w:drawing>
          <wp:inline distT="0" distB="0" distL="0" distR="0" wp14:anchorId="40E95658" wp14:editId="52A234B3">
            <wp:extent cx="4162567" cy="2232839"/>
            <wp:effectExtent l="0" t="0" r="0" b="0"/>
            <wp:docPr id="12" name="Picture 12" descr="Market Edges: Wiped Out - z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rket Edges: Wiped Out - zc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796" cy="2232962"/>
                    </a:xfrm>
                    <a:prstGeom prst="rect">
                      <a:avLst/>
                    </a:prstGeom>
                    <a:noFill/>
                    <a:ln>
                      <a:noFill/>
                    </a:ln>
                  </pic:spPr>
                </pic:pic>
              </a:graphicData>
            </a:graphic>
          </wp:inline>
        </w:drawing>
      </w:r>
    </w:p>
    <w:p w:rsidR="00E65F7E" w:rsidRDefault="00E65F7E" w:rsidP="007E6137">
      <w:pPr>
        <w:jc w:val="center"/>
        <w:rPr>
          <w:rFonts w:ascii="Times New Roman" w:hAnsi="Times New Roman"/>
          <w:sz w:val="24"/>
          <w:szCs w:val="24"/>
        </w:rPr>
      </w:pPr>
    </w:p>
    <w:p w:rsidR="007E6137" w:rsidRDefault="007E6137" w:rsidP="007E6137">
      <w:pPr>
        <w:jc w:val="center"/>
        <w:rPr>
          <w:rFonts w:ascii="Times New Roman" w:hAnsi="Times New Roman"/>
          <w:sz w:val="24"/>
          <w:szCs w:val="24"/>
        </w:rPr>
      </w:pPr>
      <w:r w:rsidRPr="007A491B">
        <w:rPr>
          <w:rFonts w:ascii="Times New Roman" w:hAnsi="Times New Roman"/>
          <w:noProof/>
          <w:sz w:val="24"/>
          <w:szCs w:val="24"/>
        </w:rPr>
        <w:drawing>
          <wp:inline distT="0" distB="0" distL="0" distR="0" wp14:anchorId="33CCA2DA" wp14:editId="4C904748">
            <wp:extent cx="4762500" cy="3026927"/>
            <wp:effectExtent l="0" t="0" r="0" b="2540"/>
            <wp:docPr id="14" name="Picture 14" descr="Market Edges: Wiped Out - nf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rket Edges: Wiped Out - nfp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426" cy="3031965"/>
                    </a:xfrm>
                    <a:prstGeom prst="rect">
                      <a:avLst/>
                    </a:prstGeom>
                    <a:noFill/>
                    <a:ln>
                      <a:noFill/>
                    </a:ln>
                  </pic:spPr>
                </pic:pic>
              </a:graphicData>
            </a:graphic>
          </wp:inline>
        </w:drawing>
      </w:r>
      <w:r>
        <w:rPr>
          <w:rStyle w:val="FootnoteReference"/>
          <w:rFonts w:ascii="Times New Roman" w:hAnsi="Times New Roman"/>
          <w:sz w:val="24"/>
          <w:szCs w:val="24"/>
        </w:rPr>
        <w:footnoteReference w:id="17"/>
      </w:r>
    </w:p>
    <w:p w:rsidR="00E65F7E" w:rsidRDefault="00E65F7E" w:rsidP="007E6137">
      <w:pPr>
        <w:rPr>
          <w:rFonts w:ascii="Times New Roman" w:hAnsi="Times New Roman"/>
          <w:sz w:val="24"/>
          <w:szCs w:val="24"/>
        </w:rPr>
      </w:pPr>
    </w:p>
    <w:p w:rsidR="00E65F7E" w:rsidRDefault="00E65F7E" w:rsidP="00E65F7E">
      <w:pPr>
        <w:jc w:val="center"/>
        <w:rPr>
          <w:rFonts w:ascii="Times New Roman" w:hAnsi="Times New Roman"/>
          <w:sz w:val="24"/>
          <w:szCs w:val="24"/>
        </w:rPr>
      </w:pPr>
      <w:bookmarkStart w:id="0" w:name="_GoBack"/>
      <w:r w:rsidRPr="004A0802">
        <w:rPr>
          <w:rFonts w:ascii="Times New Roman" w:hAnsi="Times New Roman"/>
          <w:noProof/>
          <w:sz w:val="24"/>
          <w:szCs w:val="24"/>
        </w:rPr>
        <w:drawing>
          <wp:inline distT="0" distB="0" distL="0" distR="0" wp14:anchorId="7C80D2E4" wp14:editId="752762E5">
            <wp:extent cx="4659586" cy="3257550"/>
            <wp:effectExtent l="0" t="0" r="8255" b="0"/>
            <wp:docPr id="6" name="Picture 6" descr="Market Edges: Wiped Out -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rket Edges: Wiped Out -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2801" cy="3273780"/>
                    </a:xfrm>
                    <a:prstGeom prst="rect">
                      <a:avLst/>
                    </a:prstGeom>
                    <a:noFill/>
                    <a:ln>
                      <a:noFill/>
                    </a:ln>
                  </pic:spPr>
                </pic:pic>
              </a:graphicData>
            </a:graphic>
          </wp:inline>
        </w:drawing>
      </w:r>
      <w:bookmarkEnd w:id="0"/>
    </w:p>
    <w:p w:rsidR="00E65F7E" w:rsidRDefault="00E65F7E" w:rsidP="007E6137">
      <w:pPr>
        <w:rPr>
          <w:rFonts w:ascii="Times New Roman" w:hAnsi="Times New Roman"/>
          <w:sz w:val="24"/>
          <w:szCs w:val="24"/>
        </w:rPr>
      </w:pPr>
    </w:p>
    <w:p w:rsidR="007E6137" w:rsidRDefault="007E6137" w:rsidP="007E6137">
      <w:pPr>
        <w:rPr>
          <w:rFonts w:ascii="Times New Roman" w:hAnsi="Times New Roman"/>
          <w:sz w:val="24"/>
          <w:szCs w:val="24"/>
        </w:rPr>
      </w:pPr>
      <w:r>
        <w:rPr>
          <w:rFonts w:ascii="Times New Roman" w:hAnsi="Times New Roman"/>
          <w:sz w:val="24"/>
          <w:szCs w:val="24"/>
        </w:rPr>
        <w:lastRenderedPageBreak/>
        <w:t xml:space="preserve">The first chart shows the stunning spike in initial jobless claims for people now out of work. Based on these numbers, the second chart shows that </w:t>
      </w:r>
      <w:r w:rsidRPr="00E94FA5">
        <w:rPr>
          <w:rFonts w:ascii="Times New Roman" w:hAnsi="Times New Roman"/>
          <w:b/>
          <w:i/>
          <w:sz w:val="24"/>
          <w:szCs w:val="24"/>
        </w:rPr>
        <w:t>the current loss of employment has wiped away nearly 50% of total employment gains for the entire expansion dating back to 2010!</w:t>
      </w:r>
    </w:p>
    <w:p w:rsidR="007E6137" w:rsidRDefault="007E6137" w:rsidP="00E65F7E">
      <w:pPr>
        <w:rPr>
          <w:rFonts w:ascii="Times New Roman" w:hAnsi="Times New Roman"/>
          <w:sz w:val="24"/>
          <w:szCs w:val="24"/>
        </w:rPr>
      </w:pPr>
      <w:r>
        <w:rPr>
          <w:rFonts w:ascii="Times New Roman" w:hAnsi="Times New Roman"/>
          <w:sz w:val="24"/>
          <w:szCs w:val="24"/>
        </w:rPr>
        <w:t>Hedgeye writes “</w:t>
      </w:r>
      <w:r w:rsidRPr="007A491B">
        <w:rPr>
          <w:rFonts w:ascii="Times New Roman" w:hAnsi="Times New Roman"/>
          <w:sz w:val="24"/>
          <w:szCs w:val="24"/>
        </w:rPr>
        <w:t xml:space="preserve">The speed </w:t>
      </w:r>
      <w:r w:rsidR="00E65F7E">
        <w:rPr>
          <w:rFonts w:ascii="Times New Roman" w:hAnsi="Times New Roman"/>
          <w:sz w:val="24"/>
          <w:szCs w:val="24"/>
        </w:rPr>
        <w:t xml:space="preserve">and scale of employment loss </w:t>
      </w:r>
      <w:proofErr w:type="gramStart"/>
      <w:r w:rsidR="00E65F7E">
        <w:rPr>
          <w:rFonts w:ascii="Times New Roman" w:hAnsi="Times New Roman"/>
          <w:sz w:val="24"/>
          <w:szCs w:val="24"/>
        </w:rPr>
        <w:t>is st</w:t>
      </w:r>
      <w:r w:rsidRPr="007A491B">
        <w:rPr>
          <w:rFonts w:ascii="Times New Roman" w:hAnsi="Times New Roman"/>
          <w:sz w:val="24"/>
          <w:szCs w:val="24"/>
        </w:rPr>
        <w:t>aggering.</w:t>
      </w:r>
      <w:proofErr w:type="gramEnd"/>
      <w:r w:rsidRPr="007A491B">
        <w:rPr>
          <w:rFonts w:ascii="Times New Roman" w:hAnsi="Times New Roman"/>
          <w:sz w:val="24"/>
          <w:szCs w:val="24"/>
        </w:rPr>
        <w:t xml:space="preserve">  As it stands, the job loss realized just these last two weeks is enough to push the unemployment rate up by ~6.5 percentage points (almost a triple relative to the current level).  Is 20-30% Unemployment reasonable?  Maybe/Maybe not …. </w:t>
      </w:r>
      <w:proofErr w:type="gramStart"/>
      <w:r w:rsidRPr="007A491B">
        <w:rPr>
          <w:rFonts w:ascii="Times New Roman" w:hAnsi="Times New Roman"/>
          <w:sz w:val="24"/>
          <w:szCs w:val="24"/>
        </w:rPr>
        <w:t>as</w:t>
      </w:r>
      <w:proofErr w:type="gramEnd"/>
      <w:r w:rsidRPr="007A491B">
        <w:rPr>
          <w:rFonts w:ascii="Times New Roman" w:hAnsi="Times New Roman"/>
          <w:sz w:val="24"/>
          <w:szCs w:val="24"/>
        </w:rPr>
        <w:t xml:space="preserve"> unimaginable as it seemed just a month ago, we’re already half-way there.</w:t>
      </w:r>
      <w:r>
        <w:rPr>
          <w:rFonts w:ascii="Times New Roman" w:hAnsi="Times New Roman"/>
          <w:sz w:val="24"/>
          <w:szCs w:val="24"/>
        </w:rPr>
        <w:t>” And, perh</w:t>
      </w:r>
      <w:r w:rsidR="00E65F7E">
        <w:rPr>
          <w:rFonts w:ascii="Times New Roman" w:hAnsi="Times New Roman"/>
          <w:sz w:val="24"/>
          <w:szCs w:val="24"/>
        </w:rPr>
        <w:t xml:space="preserve">aps saddest of all, is the image above </w:t>
      </w:r>
      <w:r>
        <w:rPr>
          <w:rFonts w:ascii="Times New Roman" w:hAnsi="Times New Roman"/>
          <w:sz w:val="24"/>
          <w:szCs w:val="24"/>
        </w:rPr>
        <w:t>that evidences the comments above from Bob Rodriguez concerning stretched balance sheets:</w:t>
      </w:r>
      <w:r>
        <w:rPr>
          <w:rStyle w:val="FootnoteReference"/>
          <w:rFonts w:ascii="Times New Roman" w:hAnsi="Times New Roman"/>
          <w:sz w:val="24"/>
          <w:szCs w:val="24"/>
        </w:rPr>
        <w:footnoteReference w:id="18"/>
      </w:r>
    </w:p>
    <w:p w:rsidR="007E6137" w:rsidRDefault="007E6137" w:rsidP="007E6137">
      <w:pPr>
        <w:rPr>
          <w:rFonts w:ascii="Times New Roman" w:hAnsi="Times New Roman"/>
          <w:sz w:val="24"/>
          <w:szCs w:val="24"/>
        </w:rPr>
      </w:pPr>
      <w:r>
        <w:rPr>
          <w:rFonts w:ascii="Times New Roman" w:hAnsi="Times New Roman"/>
          <w:sz w:val="24"/>
          <w:szCs w:val="24"/>
        </w:rPr>
        <w:t xml:space="preserve">And finally, because I can’t take much more, there’s this one from </w:t>
      </w:r>
      <w:proofErr w:type="spellStart"/>
      <w:r>
        <w:rPr>
          <w:rFonts w:ascii="Times New Roman" w:hAnsi="Times New Roman"/>
          <w:sz w:val="24"/>
          <w:szCs w:val="24"/>
        </w:rPr>
        <w:t>Hedgeye’s</w:t>
      </w:r>
      <w:proofErr w:type="spellEnd"/>
      <w:r>
        <w:rPr>
          <w:rFonts w:ascii="Times New Roman" w:hAnsi="Times New Roman"/>
          <w:sz w:val="24"/>
          <w:szCs w:val="24"/>
        </w:rPr>
        <w:t xml:space="preserve"> prolific, insightful and always entertaining cartoonist, B. Rich</w:t>
      </w:r>
    </w:p>
    <w:p w:rsidR="007E6137" w:rsidRDefault="007E6137" w:rsidP="007E6137">
      <w:pPr>
        <w:jc w:val="center"/>
        <w:rPr>
          <w:rFonts w:ascii="Times New Roman" w:hAnsi="Times New Roman"/>
          <w:sz w:val="24"/>
          <w:szCs w:val="24"/>
        </w:rPr>
      </w:pPr>
      <w:r w:rsidRPr="00DA14ED">
        <w:rPr>
          <w:rFonts w:ascii="Times New Roman" w:hAnsi="Times New Roman"/>
          <w:noProof/>
          <w:sz w:val="24"/>
          <w:szCs w:val="24"/>
        </w:rPr>
        <w:drawing>
          <wp:inline distT="0" distB="0" distL="0" distR="0" wp14:anchorId="4A29CE80" wp14:editId="40E3D413">
            <wp:extent cx="3684896" cy="2077798"/>
            <wp:effectExtent l="0" t="0" r="0" b="0"/>
            <wp:docPr id="16" name="Picture 16" descr="Market Edges: Wiped Out - 03.31.2020 the worst is behind u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rket Edges: Wiped Out - 03.31.2020 the worst is behind us carto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5195" cy="2077967"/>
                    </a:xfrm>
                    <a:prstGeom prst="rect">
                      <a:avLst/>
                    </a:prstGeom>
                    <a:noFill/>
                    <a:ln>
                      <a:noFill/>
                    </a:ln>
                  </pic:spPr>
                </pic:pic>
              </a:graphicData>
            </a:graphic>
          </wp:inline>
        </w:drawing>
      </w:r>
    </w:p>
    <w:p w:rsidR="007E6137" w:rsidRDefault="007E6137" w:rsidP="007E6137">
      <w:pPr>
        <w:rPr>
          <w:rFonts w:ascii="Times New Roman" w:hAnsi="Times New Roman"/>
          <w:sz w:val="24"/>
          <w:szCs w:val="24"/>
        </w:rPr>
      </w:pPr>
      <w:r>
        <w:rPr>
          <w:rFonts w:ascii="Times New Roman" w:hAnsi="Times New Roman"/>
          <w:sz w:val="24"/>
          <w:szCs w:val="24"/>
        </w:rPr>
        <w:t>The pain of course, is being felt worldwide.  The UN estimates that 195 million jobs will be lost globally.</w:t>
      </w:r>
      <w:r>
        <w:rPr>
          <w:rStyle w:val="FootnoteReference"/>
          <w:rFonts w:ascii="Times New Roman" w:hAnsi="Times New Roman"/>
          <w:sz w:val="24"/>
          <w:szCs w:val="24"/>
        </w:rPr>
        <w:footnoteReference w:id="19"/>
      </w:r>
      <w:r>
        <w:rPr>
          <w:rFonts w:ascii="Times New Roman" w:hAnsi="Times New Roman"/>
          <w:sz w:val="24"/>
          <w:szCs w:val="24"/>
        </w:rPr>
        <w:t xml:space="preserve">  However, at least in the US, the immediate problem is more of a cash flow issue.  This does not address the balance sheet problems, but in theory, the government can address cash flow and in practice, they’re giving it everything they’ve got.  The recent CARES Act (</w:t>
      </w:r>
      <w:r w:rsidRPr="00BD42D2">
        <w:rPr>
          <w:rFonts w:ascii="Times New Roman" w:hAnsi="Times New Roman"/>
          <w:sz w:val="24"/>
          <w:szCs w:val="24"/>
        </w:rPr>
        <w:t>Coronavirus Aid, Relief, and Economic Security Act</w:t>
      </w:r>
      <w:r>
        <w:rPr>
          <w:rFonts w:ascii="Times New Roman" w:hAnsi="Times New Roman"/>
          <w:sz w:val="24"/>
          <w:szCs w:val="24"/>
        </w:rPr>
        <w:t xml:space="preserve">) </w:t>
      </w:r>
      <w:r w:rsidRPr="00BD42D2">
        <w:rPr>
          <w:rFonts w:ascii="Times New Roman" w:hAnsi="Times New Roman"/>
          <w:sz w:val="24"/>
          <w:szCs w:val="24"/>
        </w:rPr>
        <w:t>is a far-reaching</w:t>
      </w:r>
      <w:r>
        <w:rPr>
          <w:rFonts w:ascii="Times New Roman" w:hAnsi="Times New Roman"/>
          <w:sz w:val="24"/>
          <w:szCs w:val="24"/>
        </w:rPr>
        <w:t xml:space="preserve">, $2 trillion </w:t>
      </w:r>
      <w:r w:rsidRPr="00BD42D2">
        <w:rPr>
          <w:rFonts w:ascii="Times New Roman" w:hAnsi="Times New Roman"/>
          <w:sz w:val="24"/>
          <w:szCs w:val="24"/>
        </w:rPr>
        <w:t>bill</w:t>
      </w:r>
      <w:r>
        <w:rPr>
          <w:rFonts w:ascii="Times New Roman" w:hAnsi="Times New Roman"/>
          <w:sz w:val="24"/>
          <w:szCs w:val="24"/>
        </w:rPr>
        <w:t>.  It contains over</w:t>
      </w:r>
      <w:r w:rsidRPr="00BD42D2">
        <w:rPr>
          <w:rFonts w:ascii="Times New Roman" w:hAnsi="Times New Roman"/>
          <w:sz w:val="24"/>
          <w:szCs w:val="24"/>
        </w:rPr>
        <w:t xml:space="preserve"> 1,000 pages of text that detail the funding, loans, and tax provisions designed to provide economic relief</w:t>
      </w:r>
      <w:r>
        <w:rPr>
          <w:rFonts w:ascii="Times New Roman" w:hAnsi="Times New Roman"/>
          <w:sz w:val="24"/>
          <w:szCs w:val="24"/>
        </w:rPr>
        <w:t xml:space="preserve"> to individuals, small businesses, hospitals – all designed to ensure and facilitate uninterrupted cash flow across a huge swath of the economy</w:t>
      </w:r>
      <w:r w:rsidRPr="00BD42D2">
        <w:rPr>
          <w:rFonts w:ascii="Times New Roman" w:hAnsi="Times New Roman"/>
          <w:sz w:val="24"/>
          <w:szCs w:val="24"/>
        </w:rPr>
        <w:t>.</w:t>
      </w:r>
      <w:r>
        <w:rPr>
          <w:rFonts w:ascii="Times New Roman" w:hAnsi="Times New Roman"/>
          <w:sz w:val="24"/>
          <w:szCs w:val="24"/>
        </w:rPr>
        <w:t xml:space="preserve">  This may not prove to be enough, but given that we have (or had) a $21 trillion economy and this bill equals 10% of it, I think it’s a solid start.  There will most probably be more to come.</w:t>
      </w:r>
    </w:p>
    <w:p w:rsidR="007E6137" w:rsidRDefault="007E6137" w:rsidP="007E6137">
      <w:pPr>
        <w:rPr>
          <w:rFonts w:ascii="Times New Roman" w:hAnsi="Times New Roman"/>
          <w:sz w:val="24"/>
          <w:szCs w:val="24"/>
        </w:rPr>
      </w:pPr>
      <w:r>
        <w:rPr>
          <w:rFonts w:ascii="Times New Roman" w:hAnsi="Times New Roman"/>
          <w:sz w:val="24"/>
          <w:szCs w:val="24"/>
        </w:rPr>
        <w:lastRenderedPageBreak/>
        <w:t xml:space="preserve">However, it’s the Fed’s balance sheet that interests us the most and here we just feel that it’s </w:t>
      </w:r>
      <w:proofErr w:type="spellStart"/>
      <w:r>
        <w:rPr>
          <w:rFonts w:ascii="Times New Roman" w:hAnsi="Times New Roman"/>
          <w:sz w:val="24"/>
          <w:szCs w:val="24"/>
        </w:rPr>
        <w:t>deja</w:t>
      </w:r>
      <w:proofErr w:type="spellEnd"/>
      <w:r>
        <w:rPr>
          <w:rFonts w:ascii="Times New Roman" w:hAnsi="Times New Roman"/>
          <w:sz w:val="24"/>
          <w:szCs w:val="24"/>
        </w:rPr>
        <w:t xml:space="preserve"> vu all over again - with just a few more zeros this time. </w:t>
      </w:r>
      <w:r w:rsidRPr="00BD42D2">
        <w:rPr>
          <w:rFonts w:ascii="Times New Roman" w:hAnsi="Times New Roman"/>
          <w:sz w:val="24"/>
          <w:szCs w:val="24"/>
        </w:rPr>
        <w:t> </w:t>
      </w:r>
      <w:r>
        <w:rPr>
          <w:rFonts w:ascii="Times New Roman" w:hAnsi="Times New Roman"/>
          <w:sz w:val="24"/>
          <w:szCs w:val="24"/>
        </w:rPr>
        <w:t xml:space="preserve">In 2008, Ben Bernanke, Hank Paulsen and Timothy Geithner discovered that they could “save the world” from a massive debt implosion by merely replacing it with even greater amounts of debt.  Of course, much of this debt was just transferred from the hands of private investors and onto the balance sheet of the Federal Reserve – a quasi-governmental entity – thus “socializing” the credit risk.  But hey, it worked, and it worked so well that they did it four more times.  </w:t>
      </w:r>
    </w:p>
    <w:p w:rsidR="007E6137" w:rsidRDefault="007E6137" w:rsidP="007E6137">
      <w:pPr>
        <w:rPr>
          <w:rFonts w:ascii="Times New Roman" w:hAnsi="Times New Roman"/>
          <w:sz w:val="24"/>
          <w:szCs w:val="24"/>
        </w:rPr>
      </w:pPr>
      <w:r>
        <w:rPr>
          <w:rFonts w:ascii="Times New Roman" w:hAnsi="Times New Roman"/>
          <w:sz w:val="24"/>
          <w:szCs w:val="24"/>
        </w:rPr>
        <w:t xml:space="preserve">In </w:t>
      </w:r>
      <w:r w:rsidRPr="00E222CD">
        <w:rPr>
          <w:rFonts w:ascii="Times New Roman" w:hAnsi="Times New Roman"/>
          <w:sz w:val="24"/>
          <w:szCs w:val="24"/>
        </w:rPr>
        <w:t>2015 under former Fed Chair Janet Yellen</w:t>
      </w:r>
      <w:r>
        <w:rPr>
          <w:rFonts w:ascii="Times New Roman" w:hAnsi="Times New Roman"/>
          <w:sz w:val="24"/>
          <w:szCs w:val="24"/>
        </w:rPr>
        <w:t>, the Fed decided to try and take back some of their previous largess and began gradually raising interest rates.  The policy was continued under Fed chairman Jerome Powell up until 2018 when the stock market decided it had had enough of financial probity.  As we wrote in our Q4 2018 Report, “</w:t>
      </w:r>
      <w:r w:rsidRPr="00E73C36">
        <w:rPr>
          <w:rFonts w:ascii="Times New Roman" w:hAnsi="Times New Roman"/>
          <w:sz w:val="24"/>
          <w:szCs w:val="24"/>
        </w:rPr>
        <w:t xml:space="preserve">The major indexes suffered their worst quarterly declines in roughly a decade, returning most benchmarks to levels last seen in the summer of 2017 and sending them into bear market </w:t>
      </w:r>
      <w:proofErr w:type="gramStart"/>
      <w:r w:rsidRPr="00E73C36">
        <w:rPr>
          <w:rFonts w:ascii="Times New Roman" w:hAnsi="Times New Roman"/>
          <w:sz w:val="24"/>
          <w:szCs w:val="24"/>
        </w:rPr>
        <w:t>territory</w:t>
      </w:r>
      <w:r>
        <w:rPr>
          <w:rFonts w:ascii="Times New Roman" w:hAnsi="Times New Roman"/>
          <w:sz w:val="24"/>
          <w:szCs w:val="24"/>
        </w:rPr>
        <w:t>,</w:t>
      </w:r>
      <w:proofErr w:type="gramEnd"/>
      <w:r w:rsidRPr="00E73C36">
        <w:rPr>
          <w:rFonts w:ascii="Times New Roman" w:hAnsi="Times New Roman"/>
          <w:sz w:val="24"/>
          <w:szCs w:val="24"/>
        </w:rPr>
        <w:t xml:space="preserve"> or down more than 20% from their recent highs</w:t>
      </w:r>
      <w:r>
        <w:rPr>
          <w:rFonts w:ascii="Times New Roman" w:hAnsi="Times New Roman"/>
          <w:sz w:val="24"/>
          <w:szCs w:val="24"/>
        </w:rPr>
        <w:t>”.</w:t>
      </w:r>
      <w:r>
        <w:rPr>
          <w:rStyle w:val="FootnoteReference"/>
          <w:rFonts w:ascii="Times New Roman" w:hAnsi="Times New Roman"/>
          <w:sz w:val="24"/>
          <w:szCs w:val="24"/>
        </w:rPr>
        <w:footnoteReference w:id="20"/>
      </w:r>
      <w:r>
        <w:rPr>
          <w:rFonts w:ascii="Times New Roman" w:hAnsi="Times New Roman"/>
          <w:sz w:val="24"/>
          <w:szCs w:val="24"/>
        </w:rPr>
        <w:t xml:space="preserve">  This caused the Fed to have a sudden change of heart and in July of 2019 they began implementing what would become three successive rate cuts.  By September they were back to expanding their balance sheet again, and were joined by major central banks around the world as the global economy began slowing.  </w:t>
      </w:r>
    </w:p>
    <w:p w:rsidR="007E6137" w:rsidRDefault="007E6137" w:rsidP="007E6137">
      <w:pPr>
        <w:rPr>
          <w:rFonts w:ascii="Times New Roman" w:hAnsi="Times New Roman"/>
          <w:sz w:val="24"/>
          <w:szCs w:val="24"/>
        </w:rPr>
      </w:pPr>
      <w:r>
        <w:rPr>
          <w:rFonts w:ascii="Times New Roman" w:hAnsi="Times New Roman"/>
          <w:sz w:val="24"/>
          <w:szCs w:val="24"/>
        </w:rPr>
        <w:t>Bloomberg noted then that “</w:t>
      </w:r>
      <w:r w:rsidRPr="002D3B9D">
        <w:rPr>
          <w:rFonts w:ascii="Times New Roman" w:hAnsi="Times New Roman"/>
          <w:sz w:val="24"/>
          <w:szCs w:val="24"/>
        </w:rPr>
        <w:t>Net bond purchases by the Federal Reserve, European Central Bank and Bank of Japan will swing back above zero from September</w:t>
      </w:r>
      <w:r>
        <w:rPr>
          <w:rFonts w:ascii="Times New Roman" w:hAnsi="Times New Roman"/>
          <w:sz w:val="24"/>
          <w:szCs w:val="24"/>
        </w:rPr>
        <w:t>…</w:t>
      </w:r>
      <w:r w:rsidRPr="002D3B9D">
        <w:rPr>
          <w:rFonts w:ascii="Times New Roman" w:hAnsi="Times New Roman"/>
          <w:sz w:val="24"/>
          <w:szCs w:val="24"/>
        </w:rPr>
        <w:t>That’s just eleven months since they collectively hit reverse having spent a decade pumping stimulus into their economies via quantitative easing.</w:t>
      </w:r>
      <w:r>
        <w:rPr>
          <w:rFonts w:ascii="Times New Roman" w:hAnsi="Times New Roman"/>
          <w:sz w:val="24"/>
          <w:szCs w:val="24"/>
        </w:rPr>
        <w:t xml:space="preserve">  </w:t>
      </w:r>
      <w:r w:rsidRPr="002D3B9D">
        <w:rPr>
          <w:rFonts w:ascii="Times New Roman" w:hAnsi="Times New Roman"/>
          <w:sz w:val="24"/>
          <w:szCs w:val="24"/>
        </w:rPr>
        <w:t xml:space="preserve">The outlook shows how quickly central banks have been forced to turn tail after spending much of last year leaning toward tightening monetary policy, only to now be looking to loosen it as the world economy slows. </w:t>
      </w:r>
      <w:r w:rsidRPr="002D3B9D">
        <w:rPr>
          <w:rFonts w:ascii="Times New Roman" w:hAnsi="Times New Roman"/>
          <w:b/>
          <w:i/>
          <w:sz w:val="24"/>
          <w:szCs w:val="24"/>
        </w:rPr>
        <w:t>It also underscores how their balance sheets are likely to remain permanently larger than the pre-crisis years</w:t>
      </w:r>
      <w:r>
        <w:rPr>
          <w:rFonts w:ascii="Times New Roman" w:hAnsi="Times New Roman"/>
          <w:b/>
          <w:i/>
          <w:sz w:val="24"/>
          <w:szCs w:val="24"/>
        </w:rPr>
        <w:t xml:space="preserve"> </w:t>
      </w:r>
      <w:r>
        <w:rPr>
          <w:rFonts w:ascii="Times New Roman" w:hAnsi="Times New Roman"/>
          <w:sz w:val="24"/>
          <w:szCs w:val="24"/>
        </w:rPr>
        <w:t>(emphasis added)</w:t>
      </w:r>
      <w:r w:rsidRPr="002D3B9D">
        <w:rPr>
          <w:rFonts w:ascii="Times New Roman" w:hAnsi="Times New Roman"/>
          <w:sz w:val="24"/>
          <w:szCs w:val="24"/>
        </w:rPr>
        <w:t>.</w:t>
      </w:r>
      <w:r>
        <w:rPr>
          <w:rStyle w:val="FootnoteReference"/>
          <w:rFonts w:ascii="Times New Roman" w:hAnsi="Times New Roman"/>
          <w:sz w:val="24"/>
          <w:szCs w:val="24"/>
        </w:rPr>
        <w:footnoteReference w:id="21"/>
      </w:r>
    </w:p>
    <w:p w:rsidR="007E6137" w:rsidRDefault="007E6137" w:rsidP="007E6137">
      <w:pPr>
        <w:rPr>
          <w:rFonts w:ascii="Times New Roman" w:hAnsi="Times New Roman"/>
          <w:sz w:val="24"/>
          <w:szCs w:val="24"/>
        </w:rPr>
      </w:pPr>
      <w:proofErr w:type="gramStart"/>
      <w:r>
        <w:rPr>
          <w:rFonts w:ascii="Times New Roman" w:hAnsi="Times New Roman"/>
          <w:sz w:val="24"/>
          <w:szCs w:val="24"/>
        </w:rPr>
        <w:t>Prescient, but not nearly bold or imaginative enough.</w:t>
      </w:r>
      <w:proofErr w:type="gramEnd"/>
      <w:r>
        <w:rPr>
          <w:rFonts w:ascii="Times New Roman" w:hAnsi="Times New Roman"/>
          <w:sz w:val="24"/>
          <w:szCs w:val="24"/>
        </w:rPr>
        <w:t xml:space="preserve">  The FT recently reported that “(the) Federal Reserve’s balance sheet is expected to balloon to an unprecedented size this year after its dramatic interventions to protect capital markets and the world’s biggest economy from the effects of the coronavirus outbreak… Analysts at Bank of America say these actions, taken together, could result in the Fed’s balance sheet topping $9tn by the end of the year, or more than 40 per cent of US gross domestic product.  Its balance sheet has already expanded by more than $1tn since the coronavirus outbreak began.  That could prove an understatement.  Krishna </w:t>
      </w:r>
      <w:proofErr w:type="spellStart"/>
      <w:r>
        <w:rPr>
          <w:rFonts w:ascii="Times New Roman" w:hAnsi="Times New Roman"/>
          <w:sz w:val="24"/>
          <w:szCs w:val="24"/>
        </w:rPr>
        <w:t>Guha</w:t>
      </w:r>
      <w:proofErr w:type="spellEnd"/>
      <w:r>
        <w:rPr>
          <w:rFonts w:ascii="Times New Roman" w:hAnsi="Times New Roman"/>
          <w:sz w:val="24"/>
          <w:szCs w:val="24"/>
        </w:rPr>
        <w:t xml:space="preserve">, </w:t>
      </w:r>
      <w:r>
        <w:rPr>
          <w:rFonts w:ascii="Times New Roman" w:hAnsi="Times New Roman"/>
          <w:sz w:val="24"/>
          <w:szCs w:val="24"/>
        </w:rPr>
        <w:lastRenderedPageBreak/>
        <w:t>vice-chairman at Evercore ISI, expects the balance sheet to hit the $9tn milestone by mid-year.”</w:t>
      </w:r>
      <w:r>
        <w:rPr>
          <w:rStyle w:val="FootnoteReference"/>
          <w:rFonts w:ascii="Times New Roman" w:hAnsi="Times New Roman"/>
          <w:sz w:val="24"/>
          <w:szCs w:val="24"/>
        </w:rPr>
        <w:footnoteReference w:id="22"/>
      </w:r>
    </w:p>
    <w:p w:rsidR="007E6137" w:rsidRPr="002D3B9D" w:rsidRDefault="007E6137" w:rsidP="007E6137">
      <w:pPr>
        <w:rPr>
          <w:rFonts w:ascii="Times New Roman" w:hAnsi="Times New Roman"/>
          <w:sz w:val="24"/>
          <w:szCs w:val="24"/>
        </w:rPr>
      </w:pPr>
      <w:r>
        <w:rPr>
          <w:rFonts w:ascii="Times New Roman" w:hAnsi="Times New Roman"/>
          <w:sz w:val="24"/>
          <w:szCs w:val="24"/>
        </w:rPr>
        <w:t>For now, Wolf Richter reported last week that “</w:t>
      </w:r>
      <w:r w:rsidRPr="00D958A8">
        <w:rPr>
          <w:rFonts w:ascii="Times New Roman" w:hAnsi="Times New Roman"/>
          <w:sz w:val="24"/>
          <w:szCs w:val="24"/>
        </w:rPr>
        <w:t xml:space="preserve">Total assets on the Fed’s weekly balance sheet jumped by $272 billion in one week, to $6.08 trillion, according to the Fed’s release Thursday afternoon. </w:t>
      </w:r>
      <w:proofErr w:type="gramStart"/>
      <w:r w:rsidRPr="00D958A8">
        <w:rPr>
          <w:rFonts w:ascii="Times New Roman" w:hAnsi="Times New Roman"/>
          <w:sz w:val="24"/>
          <w:szCs w:val="24"/>
        </w:rPr>
        <w:t>Since the Fed started this spree of Wall Street and asset-holder bailout programs four weeks ago, total assets have exploded by $1.77 trillion.</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see</w:t>
      </w:r>
      <w:proofErr w:type="gramEnd"/>
      <w:r>
        <w:rPr>
          <w:rFonts w:ascii="Times New Roman" w:hAnsi="Times New Roman"/>
          <w:sz w:val="24"/>
          <w:szCs w:val="24"/>
        </w:rPr>
        <w:t xml:space="preserve"> chart below)</w:t>
      </w:r>
      <w:r>
        <w:rPr>
          <w:rStyle w:val="FootnoteReference"/>
          <w:rFonts w:ascii="Times New Roman" w:hAnsi="Times New Roman"/>
          <w:sz w:val="24"/>
          <w:szCs w:val="24"/>
        </w:rPr>
        <w:footnoteReference w:id="23"/>
      </w:r>
    </w:p>
    <w:p w:rsidR="007E6137" w:rsidRDefault="007E6137" w:rsidP="00B160B8">
      <w:pPr>
        <w:jc w:val="center"/>
        <w:rPr>
          <w:rFonts w:ascii="Times New Roman" w:hAnsi="Times New Roman"/>
          <w:sz w:val="24"/>
          <w:szCs w:val="24"/>
        </w:rPr>
      </w:pPr>
      <w:r w:rsidRPr="00D958A8">
        <w:rPr>
          <w:rFonts w:ascii="Times New Roman" w:hAnsi="Times New Roman"/>
          <w:noProof/>
          <w:sz w:val="24"/>
          <w:szCs w:val="24"/>
        </w:rPr>
        <w:drawing>
          <wp:inline distT="0" distB="0" distL="0" distR="0" wp14:anchorId="1F877BC7" wp14:editId="2BA44627">
            <wp:extent cx="2864206" cy="2790968"/>
            <wp:effectExtent l="0" t="0" r="0" b="0"/>
            <wp:docPr id="17" name="Picture 17" descr="https://wolfstreet.com/wp-content/uploads/2020/04/US-Fed-Balance-sheet-2020-04-09-total-as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olfstreet.com/wp-content/uploads/2020/04/US-Fed-Balance-sheet-2020-04-09-total-asse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581" cy="2794257"/>
                    </a:xfrm>
                    <a:prstGeom prst="rect">
                      <a:avLst/>
                    </a:prstGeom>
                    <a:noFill/>
                    <a:ln>
                      <a:noFill/>
                    </a:ln>
                  </pic:spPr>
                </pic:pic>
              </a:graphicData>
            </a:graphic>
          </wp:inline>
        </w:drawing>
      </w:r>
    </w:p>
    <w:p w:rsidR="007E6137" w:rsidRDefault="007E6137" w:rsidP="007E6137">
      <w:pPr>
        <w:rPr>
          <w:rFonts w:ascii="Times New Roman" w:hAnsi="Times New Roman"/>
          <w:sz w:val="24"/>
          <w:szCs w:val="24"/>
        </w:rPr>
      </w:pPr>
      <w:r>
        <w:rPr>
          <w:rFonts w:ascii="Times New Roman" w:hAnsi="Times New Roman"/>
          <w:sz w:val="24"/>
          <w:szCs w:val="24"/>
        </w:rPr>
        <w:t xml:space="preserve">The statement from the chart seems obvious enough, but the full meaning is much deeper.  Traditionally the Fed was only allowed to conduct its monetary policy through the purchase and sale of US government securities.  Thanks to recently passed legislation, these recent purchases now include (or are allowed to include) commercial paper, corporate bonds, asset-backed securities, bond ETFs, and direct loans to small and medium sized businesses, all under a variety of an “alphabet soup” of newly created entities (e.g. the CPFF, TALF, PMCCF…).  The details and mechanics of this are too nuanced to discuss here, but for an excellent explanation of the scheme, we would direct you to some of the work done by Jim Bianco (such as a recent piece published in the Washington Post on March 29, “The Fed’s Cure Risks Being Worse Than the Disease”).  </w:t>
      </w:r>
    </w:p>
    <w:p w:rsidR="007E6137" w:rsidRDefault="007E6137" w:rsidP="007E6137">
      <w:pPr>
        <w:rPr>
          <w:rFonts w:ascii="Times New Roman" w:hAnsi="Times New Roman"/>
          <w:sz w:val="24"/>
          <w:szCs w:val="24"/>
        </w:rPr>
      </w:pPr>
      <w:r>
        <w:rPr>
          <w:rFonts w:ascii="Times New Roman" w:hAnsi="Times New Roman"/>
          <w:sz w:val="24"/>
          <w:szCs w:val="24"/>
        </w:rPr>
        <w:lastRenderedPageBreak/>
        <w:t>Bianco writes</w:t>
      </w:r>
      <w:r>
        <w:t xml:space="preserve"> </w:t>
      </w:r>
      <w:r w:rsidRPr="002B2AAA">
        <w:rPr>
          <w:rFonts w:ascii="Times New Roman" w:hAnsi="Times New Roman"/>
          <w:sz w:val="24"/>
          <w:szCs w:val="24"/>
        </w:rPr>
        <w:t>“To put it bluntly, the Fed isn’t allowed to do any of this</w:t>
      </w:r>
      <w:r>
        <w:rPr>
          <w:rFonts w:ascii="Times New Roman" w:hAnsi="Times New Roman"/>
          <w:sz w:val="24"/>
          <w:szCs w:val="24"/>
        </w:rPr>
        <w:t>… (They)</w:t>
      </w:r>
      <w:r w:rsidRPr="002B2AAA">
        <w:rPr>
          <w:rFonts w:ascii="Times New Roman" w:hAnsi="Times New Roman"/>
          <w:sz w:val="24"/>
          <w:szCs w:val="24"/>
        </w:rPr>
        <w:t xml:space="preserve"> will finance a special purpose vehicle (SPV) for each </w:t>
      </w:r>
      <w:r>
        <w:rPr>
          <w:rFonts w:ascii="Times New Roman" w:hAnsi="Times New Roman"/>
          <w:sz w:val="24"/>
          <w:szCs w:val="24"/>
        </w:rPr>
        <w:t>(new program)</w:t>
      </w:r>
      <w:r w:rsidRPr="002B2AAA">
        <w:rPr>
          <w:rFonts w:ascii="Times New Roman" w:hAnsi="Times New Roman"/>
          <w:sz w:val="24"/>
          <w:szCs w:val="24"/>
        </w:rPr>
        <w:t xml:space="preserve"> to conduct these operations. The Treasury, using the Exchange Stabilization Fund, will make an equity investment in each SPV and be in a “first loss” position. What does this mean? In essence, the Treasury, not the Fed, is buying all these securities and backstopping of loans; the Fed is acting as banker and providing financing. The Fed hired BlackRock Inc. to purchase these securities and handle the administration of the SPVs on behalf of the owner, the Treasury.</w:t>
      </w:r>
      <w:r>
        <w:rPr>
          <w:rFonts w:ascii="Times New Roman" w:hAnsi="Times New Roman"/>
          <w:sz w:val="24"/>
          <w:szCs w:val="24"/>
        </w:rPr>
        <w:t xml:space="preserve">  </w:t>
      </w:r>
      <w:r w:rsidRPr="008F2547">
        <w:rPr>
          <w:rFonts w:ascii="Times New Roman" w:hAnsi="Times New Roman"/>
          <w:b/>
          <w:i/>
          <w:sz w:val="24"/>
          <w:szCs w:val="24"/>
        </w:rPr>
        <w:t>In other words, the federal government is nationalizing large swaths of the financial markets</w:t>
      </w:r>
      <w:r>
        <w:rPr>
          <w:rFonts w:ascii="Times New Roman" w:hAnsi="Times New Roman"/>
          <w:b/>
          <w:i/>
          <w:sz w:val="24"/>
          <w:szCs w:val="24"/>
        </w:rPr>
        <w:t xml:space="preserve"> </w:t>
      </w:r>
      <w:r>
        <w:rPr>
          <w:rFonts w:ascii="Times New Roman" w:hAnsi="Times New Roman"/>
          <w:sz w:val="24"/>
          <w:szCs w:val="24"/>
        </w:rPr>
        <w:t>(emph. added)…</w:t>
      </w:r>
      <w:r w:rsidRPr="002B2AAA">
        <w:rPr>
          <w:rFonts w:ascii="Times New Roman" w:hAnsi="Times New Roman"/>
          <w:sz w:val="24"/>
          <w:szCs w:val="24"/>
        </w:rPr>
        <w:t>This scheme essentially merges the Fed and Treasury into one organization. </w:t>
      </w:r>
    </w:p>
    <w:p w:rsidR="007E6137" w:rsidRDefault="007E6137" w:rsidP="007E6137">
      <w:pPr>
        <w:rPr>
          <w:rFonts w:ascii="Times New Roman" w:hAnsi="Times New Roman"/>
          <w:sz w:val="24"/>
          <w:szCs w:val="24"/>
        </w:rPr>
      </w:pPr>
      <w:r w:rsidRPr="00E66C85">
        <w:rPr>
          <w:rFonts w:ascii="Times New Roman" w:hAnsi="Times New Roman"/>
          <w:sz w:val="24"/>
          <w:szCs w:val="24"/>
        </w:rPr>
        <w:t>In effect, the Fed is giving the Treasury access to its printing press</w:t>
      </w:r>
      <w:r>
        <w:rPr>
          <w:rFonts w:ascii="Times New Roman" w:hAnsi="Times New Roman"/>
          <w:sz w:val="24"/>
          <w:szCs w:val="24"/>
        </w:rPr>
        <w:t>…</w:t>
      </w:r>
      <w:r w:rsidRPr="00E66C85">
        <w:rPr>
          <w:rFonts w:ascii="Times New Roman" w:hAnsi="Times New Roman"/>
          <w:sz w:val="24"/>
          <w:szCs w:val="24"/>
        </w:rPr>
        <w:t xml:space="preserve">these acronym programs </w:t>
      </w:r>
      <w:r>
        <w:rPr>
          <w:rFonts w:ascii="Times New Roman" w:hAnsi="Times New Roman"/>
          <w:sz w:val="24"/>
          <w:szCs w:val="24"/>
        </w:rPr>
        <w:t xml:space="preserve">(if abused, as Bianco outlines) </w:t>
      </w:r>
      <w:r w:rsidRPr="00E66C85">
        <w:rPr>
          <w:rFonts w:ascii="Times New Roman" w:hAnsi="Times New Roman"/>
          <w:sz w:val="24"/>
          <w:szCs w:val="24"/>
        </w:rPr>
        <w:t>might indeed force markets higher than valuation warrants. But it would come with a heavy price. Investors would be deprived of the necessary market signals that freely traded capital markets offer to aid in the efficient allocation of capital. Malinvestment would be rampant. It also could force private sector players to leave as the government’s heavy hand makes operating in “controlled” markets uneconomic. This has already occurred in the U.S. federal funds market and the government bond market in Japan.</w:t>
      </w:r>
      <w:r>
        <w:rPr>
          <w:rFonts w:ascii="Times New Roman" w:hAnsi="Times New Roman"/>
          <w:sz w:val="24"/>
          <w:szCs w:val="24"/>
        </w:rPr>
        <w:t>”</w:t>
      </w:r>
      <w:r>
        <w:rPr>
          <w:rStyle w:val="FootnoteReference"/>
          <w:rFonts w:ascii="Times New Roman" w:hAnsi="Times New Roman"/>
          <w:sz w:val="24"/>
          <w:szCs w:val="24"/>
        </w:rPr>
        <w:footnoteReference w:id="24"/>
      </w:r>
    </w:p>
    <w:p w:rsidR="007E6137" w:rsidRDefault="007E6137" w:rsidP="007E6137">
      <w:pPr>
        <w:rPr>
          <w:rFonts w:ascii="Times New Roman" w:hAnsi="Times New Roman"/>
          <w:sz w:val="24"/>
          <w:szCs w:val="24"/>
        </w:rPr>
      </w:pPr>
      <w:r>
        <w:rPr>
          <w:rFonts w:ascii="Times New Roman" w:hAnsi="Times New Roman"/>
          <w:sz w:val="24"/>
          <w:szCs w:val="24"/>
        </w:rPr>
        <w:t>Bob Rodriguez is even more direct:</w:t>
      </w:r>
    </w:p>
    <w:p w:rsidR="007E6137" w:rsidRPr="0003531E" w:rsidRDefault="007E6137" w:rsidP="007E6137">
      <w:pPr>
        <w:rPr>
          <w:rFonts w:ascii="Times New Roman" w:hAnsi="Times New Roman"/>
          <w:sz w:val="24"/>
          <w:szCs w:val="24"/>
        </w:rPr>
      </w:pPr>
      <w:r>
        <w:rPr>
          <w:rFonts w:ascii="Times New Roman" w:hAnsi="Times New Roman"/>
          <w:sz w:val="24"/>
          <w:szCs w:val="24"/>
        </w:rPr>
        <w:t>“</w:t>
      </w:r>
      <w:r w:rsidRPr="0003531E">
        <w:rPr>
          <w:rFonts w:ascii="Times New Roman" w:hAnsi="Times New Roman"/>
          <w:sz w:val="24"/>
          <w:szCs w:val="24"/>
        </w:rPr>
        <w:t>As for me, with the yesterday’s Fed announ</w:t>
      </w:r>
      <w:r>
        <w:rPr>
          <w:rFonts w:ascii="Times New Roman" w:hAnsi="Times New Roman"/>
          <w:sz w:val="24"/>
          <w:szCs w:val="24"/>
        </w:rPr>
        <w:t xml:space="preserve">cement of unlimited QE and </w:t>
      </w:r>
      <w:proofErr w:type="gramStart"/>
      <w:r>
        <w:rPr>
          <w:rFonts w:ascii="Times New Roman" w:hAnsi="Times New Roman"/>
          <w:sz w:val="24"/>
          <w:szCs w:val="24"/>
        </w:rPr>
        <w:t>its</w:t>
      </w:r>
      <w:proofErr w:type="gramEnd"/>
      <w:r>
        <w:rPr>
          <w:rFonts w:ascii="Times New Roman" w:hAnsi="Times New Roman"/>
          <w:sz w:val="24"/>
          <w:szCs w:val="24"/>
        </w:rPr>
        <w:t xml:space="preserve"> ‘</w:t>
      </w:r>
      <w:r w:rsidRPr="0003531E">
        <w:rPr>
          <w:rFonts w:ascii="Times New Roman" w:hAnsi="Times New Roman"/>
          <w:sz w:val="24"/>
          <w:szCs w:val="24"/>
        </w:rPr>
        <w:t xml:space="preserve">will </w:t>
      </w:r>
      <w:r>
        <w:rPr>
          <w:rFonts w:ascii="Times New Roman" w:hAnsi="Times New Roman"/>
          <w:sz w:val="24"/>
          <w:szCs w:val="24"/>
        </w:rPr>
        <w:t>buy or support almost anything,’</w:t>
      </w:r>
      <w:r w:rsidRPr="0003531E">
        <w:rPr>
          <w:rFonts w:ascii="Times New Roman" w:hAnsi="Times New Roman"/>
          <w:sz w:val="24"/>
          <w:szCs w:val="24"/>
        </w:rPr>
        <w:t xml:space="preserve"> along with the pending passage of a $2-2.5 trillion stimulus package</w:t>
      </w:r>
      <w:r>
        <w:rPr>
          <w:rFonts w:ascii="Times New Roman" w:hAnsi="Times New Roman"/>
          <w:sz w:val="24"/>
          <w:szCs w:val="24"/>
        </w:rPr>
        <w:t xml:space="preserve"> (ed. note, subsequently passed)</w:t>
      </w:r>
      <w:r w:rsidRPr="0003531E">
        <w:rPr>
          <w:rFonts w:ascii="Times New Roman" w:hAnsi="Times New Roman"/>
          <w:sz w:val="24"/>
          <w:szCs w:val="24"/>
        </w:rPr>
        <w:t>, this is the end of the capital markets as we have known them. We have now entered unlimited QE an</w:t>
      </w:r>
      <w:r>
        <w:rPr>
          <w:rFonts w:ascii="Times New Roman" w:hAnsi="Times New Roman"/>
          <w:sz w:val="24"/>
          <w:szCs w:val="24"/>
        </w:rPr>
        <w:t>d MMT where there is no escape…</w:t>
      </w:r>
      <w:r w:rsidRPr="0003531E">
        <w:rPr>
          <w:rFonts w:ascii="Times New Roman" w:hAnsi="Times New Roman"/>
          <w:sz w:val="24"/>
          <w:szCs w:val="24"/>
        </w:rPr>
        <w:t xml:space="preserve">once initiated, </w:t>
      </w:r>
      <w:r>
        <w:rPr>
          <w:rFonts w:ascii="Times New Roman" w:hAnsi="Times New Roman"/>
          <w:sz w:val="24"/>
          <w:szCs w:val="24"/>
        </w:rPr>
        <w:t>a reversal would be impossible.</w:t>
      </w:r>
    </w:p>
    <w:p w:rsidR="007E6137" w:rsidRDefault="007E6137" w:rsidP="007E6137">
      <w:pPr>
        <w:rPr>
          <w:rFonts w:ascii="Times New Roman" w:hAnsi="Times New Roman"/>
          <w:sz w:val="24"/>
          <w:szCs w:val="24"/>
        </w:rPr>
      </w:pPr>
      <w:r>
        <w:rPr>
          <w:rFonts w:ascii="Times New Roman" w:hAnsi="Times New Roman"/>
          <w:sz w:val="24"/>
          <w:szCs w:val="24"/>
        </w:rPr>
        <w:t>“</w:t>
      </w:r>
      <w:r w:rsidRPr="0003531E">
        <w:rPr>
          <w:rFonts w:ascii="Times New Roman" w:hAnsi="Times New Roman"/>
          <w:sz w:val="24"/>
          <w:szCs w:val="24"/>
        </w:rPr>
        <w:t>With the initiation of the Fed’s complete takeover and control of the US financial economy, there is now absolutely no accurate pricing discovery in the capital markets and we have entered a period of total manipulation. In light of this, the only markets I have an interest in are those where the heavy hand of government is not involved or only mi</w:t>
      </w:r>
      <w:r>
        <w:rPr>
          <w:rFonts w:ascii="Times New Roman" w:hAnsi="Times New Roman"/>
          <w:sz w:val="24"/>
          <w:szCs w:val="24"/>
        </w:rPr>
        <w:t>nimally involved…</w:t>
      </w:r>
      <w:r w:rsidRPr="0003531E">
        <w:rPr>
          <w:rFonts w:ascii="Times New Roman" w:hAnsi="Times New Roman"/>
          <w:sz w:val="24"/>
          <w:szCs w:val="24"/>
        </w:rPr>
        <w:t>US capital markets, RIP!</w:t>
      </w:r>
      <w:r>
        <w:rPr>
          <w:rFonts w:ascii="Times New Roman" w:hAnsi="Times New Roman"/>
          <w:sz w:val="24"/>
          <w:szCs w:val="24"/>
        </w:rPr>
        <w:t>”</w:t>
      </w:r>
      <w:r>
        <w:rPr>
          <w:rStyle w:val="FootnoteReference"/>
          <w:rFonts w:ascii="Times New Roman" w:hAnsi="Times New Roman"/>
          <w:sz w:val="24"/>
          <w:szCs w:val="24"/>
        </w:rPr>
        <w:footnoteReference w:id="25"/>
      </w:r>
    </w:p>
    <w:p w:rsidR="00B160B8" w:rsidRDefault="007E6137" w:rsidP="007E6137">
      <w:pPr>
        <w:rPr>
          <w:rFonts w:ascii="Times New Roman" w:hAnsi="Times New Roman"/>
          <w:sz w:val="24"/>
          <w:szCs w:val="24"/>
        </w:rPr>
      </w:pPr>
      <w:r>
        <w:rPr>
          <w:rFonts w:ascii="Times New Roman" w:hAnsi="Times New Roman"/>
          <w:sz w:val="24"/>
          <w:szCs w:val="24"/>
        </w:rPr>
        <w:t>We are sympathetic to this view and share Rodriguez and Bianco’s concerns.  Particularly Rodriguez’s earlier observation regarding the outcome of our indebtedness coming out of WW II and how we were able to grow out of it because “</w:t>
      </w:r>
      <w:r w:rsidRPr="006445AF">
        <w:rPr>
          <w:rFonts w:ascii="Times New Roman" w:hAnsi="Times New Roman"/>
          <w:sz w:val="24"/>
          <w:szCs w:val="24"/>
        </w:rPr>
        <w:t>after 12 years of Depression, the financial system was cleansed of speculative excesses</w:t>
      </w:r>
      <w:r>
        <w:rPr>
          <w:rFonts w:ascii="Times New Roman" w:hAnsi="Times New Roman"/>
          <w:sz w:val="24"/>
          <w:szCs w:val="24"/>
        </w:rPr>
        <w:t>”.  As a result, “</w:t>
      </w:r>
      <w:r w:rsidRPr="006445AF">
        <w:rPr>
          <w:rFonts w:ascii="Times New Roman" w:hAnsi="Times New Roman"/>
          <w:sz w:val="24"/>
          <w:szCs w:val="24"/>
        </w:rPr>
        <w:t xml:space="preserve">After the carnage was over, the </w:t>
      </w:r>
      <w:r w:rsidRPr="006445AF">
        <w:rPr>
          <w:rFonts w:ascii="Times New Roman" w:hAnsi="Times New Roman"/>
          <w:sz w:val="24"/>
          <w:szCs w:val="24"/>
        </w:rPr>
        <w:lastRenderedPageBreak/>
        <w:t>economy was able to grow out of an extreme leverage position</w:t>
      </w:r>
      <w:r>
        <w:rPr>
          <w:rFonts w:ascii="Times New Roman" w:hAnsi="Times New Roman"/>
          <w:sz w:val="24"/>
          <w:szCs w:val="24"/>
        </w:rPr>
        <w:t xml:space="preserve">”.  In more recent times, we have never had this “cleansing”.  It was not allowed to happen because our leaders “protected us” from it by facilitating an ever larger buildup of debt, or leverage.  It should be noted that the discussion here has only extended to traditional debt and borrowing and so we’re only dealing in the trillions, such as the IIF’s estimate (see above) of $257 trillion of total global debt.  We have not even touched upon the derivatives markets!  </w:t>
      </w:r>
      <w:proofErr w:type="gramStart"/>
      <w:r>
        <w:rPr>
          <w:rFonts w:ascii="Times New Roman" w:hAnsi="Times New Roman"/>
          <w:sz w:val="24"/>
          <w:szCs w:val="24"/>
        </w:rPr>
        <w:t>The BIS (Bank for International Settlements – also discussed in past reports) which monitors these markets, estimates that “</w:t>
      </w:r>
      <w:r w:rsidRPr="00D62D55">
        <w:rPr>
          <w:rFonts w:ascii="Times New Roman" w:hAnsi="Times New Roman"/>
          <w:sz w:val="24"/>
          <w:szCs w:val="24"/>
        </w:rPr>
        <w:t>Notional amounts of OTC derivatives rose to $640 trillion at end-June 2019.</w:t>
      </w:r>
      <w:r>
        <w:rPr>
          <w:rFonts w:ascii="Times New Roman" w:hAnsi="Times New Roman"/>
          <w:sz w:val="24"/>
          <w:szCs w:val="24"/>
        </w:rPr>
        <w:t>”</w:t>
      </w:r>
      <w:proofErr w:type="gramEnd"/>
      <w:r>
        <w:rPr>
          <w:rStyle w:val="FootnoteReference"/>
          <w:rFonts w:ascii="Times New Roman" w:hAnsi="Times New Roman"/>
          <w:sz w:val="24"/>
          <w:szCs w:val="24"/>
        </w:rPr>
        <w:footnoteReference w:id="26"/>
      </w:r>
      <w:r>
        <w:rPr>
          <w:rFonts w:ascii="Times New Roman" w:hAnsi="Times New Roman"/>
          <w:sz w:val="24"/>
          <w:szCs w:val="24"/>
        </w:rPr>
        <w:t xml:space="preserve">  (It should be noted that after spiking sharply from 2007 through the first half of 2008, growth in these markets have seen fits and starts, but have been essentially flat for the past decade.  Nevertheless, this is a continuation </w:t>
      </w:r>
    </w:p>
    <w:p w:rsidR="007E6137" w:rsidRDefault="007E6137" w:rsidP="007E6137">
      <w:pPr>
        <w:rPr>
          <w:rFonts w:ascii="Times New Roman" w:hAnsi="Times New Roman"/>
          <w:sz w:val="24"/>
          <w:szCs w:val="24"/>
        </w:rPr>
      </w:pPr>
      <w:proofErr w:type="gramStart"/>
      <w:r>
        <w:rPr>
          <w:rFonts w:ascii="Times New Roman" w:hAnsi="Times New Roman"/>
          <w:sz w:val="24"/>
          <w:szCs w:val="24"/>
        </w:rPr>
        <w:t>of</w:t>
      </w:r>
      <w:proofErr w:type="gramEnd"/>
      <w:r>
        <w:rPr>
          <w:rFonts w:ascii="Times New Roman" w:hAnsi="Times New Roman"/>
          <w:sz w:val="24"/>
          <w:szCs w:val="24"/>
        </w:rPr>
        <w:t xml:space="preserve"> an increase evident since 2016, and we are rapidly flirting with levels in the </w:t>
      </w:r>
      <w:r w:rsidRPr="00E715DD">
        <w:rPr>
          <w:rFonts w:ascii="Times New Roman" w:hAnsi="Times New Roman"/>
          <w:b/>
          <w:i/>
          <w:sz w:val="24"/>
          <w:szCs w:val="24"/>
        </w:rPr>
        <w:t>quadrillions</w:t>
      </w:r>
      <w:r>
        <w:rPr>
          <w:rFonts w:ascii="Times New Roman" w:hAnsi="Times New Roman"/>
          <w:b/>
          <w:i/>
          <w:sz w:val="24"/>
          <w:szCs w:val="24"/>
        </w:rPr>
        <w:t>,</w:t>
      </w:r>
      <w:r>
        <w:rPr>
          <w:rFonts w:ascii="Times New Roman" w:hAnsi="Times New Roman"/>
          <w:sz w:val="24"/>
          <w:szCs w:val="24"/>
        </w:rPr>
        <w:t xml:space="preserve"> whatever that is).  </w:t>
      </w:r>
    </w:p>
    <w:p w:rsidR="007E6137" w:rsidRDefault="007E6137" w:rsidP="007E6137">
      <w:pPr>
        <w:rPr>
          <w:rFonts w:ascii="Times New Roman" w:hAnsi="Times New Roman"/>
          <w:sz w:val="24"/>
          <w:szCs w:val="24"/>
        </w:rPr>
      </w:pPr>
      <w:r>
        <w:rPr>
          <w:rFonts w:ascii="Times New Roman" w:hAnsi="Times New Roman"/>
          <w:sz w:val="24"/>
          <w:szCs w:val="24"/>
        </w:rPr>
        <w:t>Where this ultimately brings us is anyone’s guess.  And here, we completely agree with Howard Marks regarding “</w:t>
      </w:r>
      <w:r w:rsidRPr="001639FC">
        <w:rPr>
          <w:rFonts w:ascii="Times New Roman" w:hAnsi="Times New Roman"/>
          <w:sz w:val="24"/>
          <w:szCs w:val="24"/>
        </w:rPr>
        <w:t>the total absence of guidance from analogies to the past</w:t>
      </w:r>
      <w:r>
        <w:rPr>
          <w:rFonts w:ascii="Times New Roman" w:hAnsi="Times New Roman"/>
          <w:sz w:val="24"/>
          <w:szCs w:val="24"/>
        </w:rPr>
        <w:t xml:space="preserve">”.  Perhaps we come out of this with a less efficient, but “kinder and gentler” form of capitalism.  Nevertheless, it is our belief that for the past decade – as a result of central bank/government intervention - the outcomes in the financial markets have become more and more divorced from the progress of the real economy.  There have been pockets of tremendous innovation in areas such as genomics, artificial intelligence and technology, biotech and so on.  And, at the same time, there has been a swell of “zombie companies” – highly indebted companies that don’t even earn enough to cover their interest payments!  (Around the end of 2018, this equaled 13% of all companies in the advanced economies, according to </w:t>
      </w:r>
      <w:proofErr w:type="spellStart"/>
      <w:r>
        <w:rPr>
          <w:rFonts w:ascii="Times New Roman" w:hAnsi="Times New Roman"/>
          <w:sz w:val="24"/>
          <w:szCs w:val="24"/>
        </w:rPr>
        <w:t>BoA</w:t>
      </w:r>
      <w:proofErr w:type="spellEnd"/>
      <w:r>
        <w:rPr>
          <w:rFonts w:ascii="Times New Roman" w:hAnsi="Times New Roman"/>
          <w:sz w:val="24"/>
          <w:szCs w:val="24"/>
        </w:rPr>
        <w:t xml:space="preserve"> Merrill Lynch.</w:t>
      </w:r>
      <w:r>
        <w:rPr>
          <w:rStyle w:val="FootnoteReference"/>
          <w:rFonts w:ascii="Times New Roman" w:hAnsi="Times New Roman"/>
          <w:sz w:val="24"/>
          <w:szCs w:val="24"/>
        </w:rPr>
        <w:footnoteReference w:id="27"/>
      </w:r>
      <w:r>
        <w:rPr>
          <w:rFonts w:ascii="Times New Roman" w:hAnsi="Times New Roman"/>
          <w:sz w:val="24"/>
          <w:szCs w:val="24"/>
        </w:rPr>
        <w:t xml:space="preserve">  A BIS study found that “…</w:t>
      </w:r>
      <w:r w:rsidRPr="001116E8">
        <w:rPr>
          <w:rFonts w:ascii="Times New Roman" w:hAnsi="Times New Roman"/>
          <w:sz w:val="24"/>
          <w:szCs w:val="24"/>
        </w:rPr>
        <w:t>the prevalence of zombies has increased significantly since the 1980s</w:t>
      </w:r>
      <w:r>
        <w:rPr>
          <w:rFonts w:ascii="Times New Roman" w:hAnsi="Times New Roman"/>
          <w:sz w:val="24"/>
          <w:szCs w:val="24"/>
        </w:rPr>
        <w:t xml:space="preserve">… </w:t>
      </w:r>
      <w:r w:rsidRPr="001116E8">
        <w:rPr>
          <w:rFonts w:ascii="Times New Roman" w:hAnsi="Times New Roman"/>
          <w:sz w:val="24"/>
          <w:szCs w:val="24"/>
        </w:rPr>
        <w:t>Across 14 advanced economies, their share rose, on average, from around 2% in the late 1980s to some 12% in 2016</w:t>
      </w:r>
      <w:r>
        <w:rPr>
          <w:rFonts w:ascii="Times New Roman" w:hAnsi="Times New Roman"/>
          <w:sz w:val="24"/>
          <w:szCs w:val="24"/>
        </w:rPr>
        <w:t>.”)</w:t>
      </w:r>
      <w:r>
        <w:rPr>
          <w:rStyle w:val="FootnoteReference"/>
          <w:rFonts w:ascii="Times New Roman" w:hAnsi="Times New Roman"/>
          <w:sz w:val="24"/>
          <w:szCs w:val="24"/>
        </w:rPr>
        <w:footnoteReference w:id="28"/>
      </w:r>
      <w:r>
        <w:rPr>
          <w:rFonts w:ascii="Times New Roman" w:hAnsi="Times New Roman"/>
          <w:sz w:val="24"/>
          <w:szCs w:val="24"/>
        </w:rPr>
        <w:t xml:space="preserve">  The Russell 2000 Growth Index is an index of 2000 smaller companies.  According to Janus Henderson, “</w:t>
      </w:r>
      <w:r w:rsidRPr="001F3EDB">
        <w:rPr>
          <w:rFonts w:ascii="Times New Roman" w:hAnsi="Times New Roman"/>
          <w:sz w:val="24"/>
          <w:szCs w:val="24"/>
        </w:rPr>
        <w:t>The percentage of unprofitable companies in the index is now above 40% (you read that right) and is at its highest level in at least 15 years.</w:t>
      </w:r>
      <w:r>
        <w:rPr>
          <w:rFonts w:ascii="Times New Roman" w:hAnsi="Times New Roman"/>
          <w:sz w:val="24"/>
          <w:szCs w:val="24"/>
        </w:rPr>
        <w:t>”</w:t>
      </w:r>
      <w:r>
        <w:rPr>
          <w:rStyle w:val="FootnoteReference"/>
          <w:rFonts w:ascii="Times New Roman" w:hAnsi="Times New Roman"/>
          <w:sz w:val="24"/>
          <w:szCs w:val="24"/>
        </w:rPr>
        <w:footnoteReference w:id="29"/>
      </w:r>
      <w:r>
        <w:rPr>
          <w:rFonts w:ascii="Times New Roman" w:hAnsi="Times New Roman"/>
          <w:sz w:val="24"/>
          <w:szCs w:val="24"/>
        </w:rPr>
        <w:t xml:space="preserve">                </w:t>
      </w:r>
    </w:p>
    <w:p w:rsidR="007E6137" w:rsidRDefault="007E6137" w:rsidP="007E6137">
      <w:pPr>
        <w:rPr>
          <w:rFonts w:ascii="Times New Roman" w:hAnsi="Times New Roman"/>
          <w:sz w:val="24"/>
          <w:szCs w:val="24"/>
        </w:rPr>
      </w:pPr>
      <w:r>
        <w:rPr>
          <w:rFonts w:ascii="Times New Roman" w:hAnsi="Times New Roman"/>
          <w:sz w:val="24"/>
          <w:szCs w:val="24"/>
        </w:rPr>
        <w:t>Our strongest conviction at this point is that these trends remain intact – the result of the identical policies we’ve been employing since 2008.  There is tremendous angst and uncertainty concerning the harm and suffering that will be visited by the coronavirus.  This is rational and deserved.  However, what’s not at all clear is whether this has to be reflected in financial markets – at least more than they’ve already been reflected.  As Howard Marks wrote further, “</w:t>
      </w:r>
      <w:r w:rsidRPr="00F7763E">
        <w:rPr>
          <w:rFonts w:ascii="Times New Roman" w:hAnsi="Times New Roman"/>
          <w:b/>
          <w:bCs/>
          <w:sz w:val="24"/>
          <w:szCs w:val="24"/>
        </w:rPr>
        <w:t xml:space="preserve">The most </w:t>
      </w:r>
      <w:r w:rsidRPr="00F7763E">
        <w:rPr>
          <w:rFonts w:ascii="Times New Roman" w:hAnsi="Times New Roman"/>
          <w:b/>
          <w:bCs/>
          <w:sz w:val="24"/>
          <w:szCs w:val="24"/>
        </w:rPr>
        <w:lastRenderedPageBreak/>
        <w:t>important job is to strike the appropriate balance between offense and defense</w:t>
      </w:r>
      <w:r>
        <w:rPr>
          <w:rFonts w:ascii="Times New Roman" w:hAnsi="Times New Roman"/>
          <w:b/>
          <w:bCs/>
          <w:sz w:val="24"/>
          <w:szCs w:val="24"/>
        </w:rPr>
        <w:t>…</w:t>
      </w:r>
      <w:r>
        <w:rPr>
          <w:rFonts w:ascii="Times New Roman" w:hAnsi="Times New Roman"/>
          <w:sz w:val="24"/>
          <w:szCs w:val="24"/>
        </w:rPr>
        <w:t xml:space="preserve"> </w:t>
      </w:r>
      <w:r w:rsidRPr="00F7763E">
        <w:rPr>
          <w:rFonts w:ascii="Times New Roman" w:hAnsi="Times New Roman"/>
          <w:b/>
          <w:bCs/>
          <w:sz w:val="24"/>
          <w:szCs w:val="24"/>
        </w:rPr>
        <w:t xml:space="preserve">One way to think about the balance between offense </w:t>
      </w:r>
      <w:r>
        <w:rPr>
          <w:rFonts w:ascii="Times New Roman" w:hAnsi="Times New Roman"/>
          <w:b/>
          <w:bCs/>
          <w:sz w:val="24"/>
          <w:szCs w:val="24"/>
        </w:rPr>
        <w:t>and defense is to consider the ‘</w:t>
      </w:r>
      <w:r w:rsidRPr="00F7763E">
        <w:rPr>
          <w:rFonts w:ascii="Times New Roman" w:hAnsi="Times New Roman"/>
          <w:b/>
          <w:bCs/>
          <w:sz w:val="24"/>
          <w:szCs w:val="24"/>
        </w:rPr>
        <w:t>twin risks</w:t>
      </w:r>
      <w:r>
        <w:rPr>
          <w:rFonts w:ascii="Times New Roman" w:hAnsi="Times New Roman"/>
          <w:b/>
          <w:bCs/>
          <w:sz w:val="24"/>
          <w:szCs w:val="24"/>
        </w:rPr>
        <w:t>’</w:t>
      </w:r>
      <w:r w:rsidRPr="00F7763E">
        <w:rPr>
          <w:rFonts w:ascii="Times New Roman" w:hAnsi="Times New Roman"/>
          <w:b/>
          <w:bCs/>
          <w:sz w:val="24"/>
          <w:szCs w:val="24"/>
        </w:rPr>
        <w:t xml:space="preserve"> investors face every day: the risk of losing money and the risk of missing opportunity.</w:t>
      </w:r>
      <w:r>
        <w:rPr>
          <w:rFonts w:ascii="Times New Roman" w:hAnsi="Times New Roman"/>
          <w:sz w:val="24"/>
          <w:szCs w:val="24"/>
        </w:rPr>
        <w:t>”</w:t>
      </w:r>
      <w:r>
        <w:rPr>
          <w:rStyle w:val="FootnoteReference"/>
          <w:rFonts w:ascii="Times New Roman" w:hAnsi="Times New Roman"/>
          <w:sz w:val="24"/>
          <w:szCs w:val="24"/>
        </w:rPr>
        <w:footnoteReference w:id="30"/>
      </w:r>
    </w:p>
    <w:p w:rsidR="007E6137" w:rsidRDefault="007E6137" w:rsidP="007E6137">
      <w:pPr>
        <w:rPr>
          <w:rFonts w:ascii="Times New Roman" w:hAnsi="Times New Roman"/>
          <w:sz w:val="24"/>
          <w:szCs w:val="24"/>
        </w:rPr>
      </w:pPr>
      <w:r>
        <w:rPr>
          <w:rFonts w:ascii="Times New Roman" w:hAnsi="Times New Roman"/>
          <w:sz w:val="24"/>
          <w:szCs w:val="24"/>
        </w:rPr>
        <w:t xml:space="preserve">We fully agree.  We have raised cash levels slightly in most accounts, from around 10% prior to the market collapse to roughly 20% currently and we’re comfortable with this allocation for now.  However, according to a recent </w:t>
      </w:r>
      <w:proofErr w:type="spellStart"/>
      <w:r>
        <w:rPr>
          <w:rFonts w:ascii="Times New Roman" w:hAnsi="Times New Roman"/>
          <w:sz w:val="24"/>
          <w:szCs w:val="24"/>
        </w:rPr>
        <w:t>BoA</w:t>
      </w:r>
      <w:proofErr w:type="spellEnd"/>
      <w:r>
        <w:rPr>
          <w:rFonts w:ascii="Times New Roman" w:hAnsi="Times New Roman"/>
          <w:sz w:val="24"/>
          <w:szCs w:val="24"/>
        </w:rPr>
        <w:t>/Merrill Lynch survey of portfolio managers, “</w:t>
      </w:r>
      <w:r w:rsidRPr="006E1ED4">
        <w:rPr>
          <w:rFonts w:ascii="Times New Roman" w:hAnsi="Times New Roman"/>
          <w:sz w:val="24"/>
          <w:szCs w:val="24"/>
        </w:rPr>
        <w:t>Latest sentiment tests shows peak pessimism has been reached with almost all managers expecting a global recession</w:t>
      </w:r>
      <w:r>
        <w:rPr>
          <w:rFonts w:ascii="Times New Roman" w:hAnsi="Times New Roman"/>
          <w:sz w:val="24"/>
          <w:szCs w:val="24"/>
        </w:rPr>
        <w:t>…</w:t>
      </w:r>
      <w:r w:rsidRPr="003F4BCB">
        <w:rPr>
          <w:rFonts w:ascii="Arial" w:hAnsi="Arial" w:cs="Arial"/>
          <w:color w:val="141720"/>
          <w:sz w:val="29"/>
          <w:szCs w:val="29"/>
          <w:shd w:val="clear" w:color="auto" w:fill="FFFFFF"/>
        </w:rPr>
        <w:t xml:space="preserve"> </w:t>
      </w:r>
      <w:r w:rsidRPr="003F4BCB">
        <w:rPr>
          <w:rFonts w:ascii="Times New Roman" w:hAnsi="Times New Roman"/>
          <w:sz w:val="24"/>
          <w:szCs w:val="24"/>
        </w:rPr>
        <w:t>Fund managers’ cash levels have hit their highest point since the September 11 terrorist attacks, with almost all investors expecting a global recession in 2020.</w:t>
      </w:r>
      <w:r>
        <w:rPr>
          <w:rFonts w:ascii="Times New Roman" w:hAnsi="Times New Roman"/>
          <w:sz w:val="24"/>
          <w:szCs w:val="24"/>
        </w:rPr>
        <w:t>”</w:t>
      </w:r>
      <w:r>
        <w:rPr>
          <w:rStyle w:val="FootnoteReference"/>
          <w:rFonts w:ascii="Times New Roman" w:hAnsi="Times New Roman"/>
          <w:sz w:val="24"/>
          <w:szCs w:val="24"/>
        </w:rPr>
        <w:footnoteReference w:id="31"/>
      </w:r>
      <w:r>
        <w:rPr>
          <w:rFonts w:ascii="Times New Roman" w:hAnsi="Times New Roman"/>
          <w:sz w:val="24"/>
          <w:szCs w:val="24"/>
        </w:rPr>
        <w:t xml:space="preserve">  This is evidence to us that perhaps we’ve seen the worst – at least as far as the stock market is concerned.  The larger question remaining then is what sectors to allocate to.  There’s a real possibility that the large US growth names that led the last decade – the “FAANG” stocks and technology in general – are already owned by everyone and are not the names that will lead for the next decade.  For now, we are looking to the US dollar for our clues.  </w:t>
      </w:r>
      <w:r w:rsidRPr="00517FE6">
        <w:rPr>
          <w:rFonts w:ascii="Times New Roman" w:hAnsi="Times New Roman"/>
          <w:i/>
          <w:sz w:val="24"/>
          <w:szCs w:val="24"/>
        </w:rPr>
        <w:t>IF</w:t>
      </w:r>
      <w:r>
        <w:rPr>
          <w:rFonts w:ascii="Times New Roman" w:hAnsi="Times New Roman"/>
          <w:sz w:val="24"/>
          <w:szCs w:val="24"/>
        </w:rPr>
        <w:t xml:space="preserve"> it begins to weaken, that will be the sign to look to small-cap stocks, basic materials and commodities, and perhaps overseas.  There are also a slew of names domestically in areas of “disruptive growth” referenced above that are a lot cheaper than they were a few months ago and are currently on our shopping list.  We have made small purchases already and expect to continue into the spring and summer.</w:t>
      </w:r>
    </w:p>
    <w:p w:rsidR="007E6137" w:rsidRDefault="007E6137" w:rsidP="007E6137">
      <w:pPr>
        <w:rPr>
          <w:rFonts w:ascii="Times New Roman" w:hAnsi="Times New Roman"/>
          <w:sz w:val="24"/>
          <w:szCs w:val="24"/>
        </w:rPr>
      </w:pPr>
      <w:r>
        <w:rPr>
          <w:rFonts w:ascii="Times New Roman" w:hAnsi="Times New Roman"/>
          <w:sz w:val="24"/>
          <w:szCs w:val="24"/>
        </w:rPr>
        <w:t xml:space="preserve">We wish all of our readers above all, good health and the equanimity needed to get through these truly challenging times.  But get through, we will.  We at Katonah Capital Group and Income &amp; Asset Advisory are here to help in any way that we can.  We’ve been reaching out to as many of you as possible and invite you to contact us if there’s anything you need from us.  </w:t>
      </w:r>
    </w:p>
    <w:p w:rsidR="007E6137" w:rsidRDefault="007E6137" w:rsidP="007E6137">
      <w:pPr>
        <w:rPr>
          <w:rFonts w:ascii="Times New Roman" w:hAnsi="Times New Roman"/>
          <w:sz w:val="24"/>
          <w:szCs w:val="24"/>
        </w:rPr>
      </w:pPr>
    </w:p>
    <w:p w:rsidR="007E6137" w:rsidRDefault="007E6137" w:rsidP="007E6137">
      <w:pPr>
        <w:rPr>
          <w:rFonts w:ascii="Times New Roman" w:hAnsi="Times New Roman"/>
          <w:sz w:val="24"/>
          <w:szCs w:val="24"/>
        </w:rPr>
      </w:pPr>
      <w:r>
        <w:rPr>
          <w:rFonts w:ascii="Times New Roman" w:hAnsi="Times New Roman"/>
          <w:sz w:val="24"/>
          <w:szCs w:val="24"/>
        </w:rPr>
        <w:t>Thank you for reading.</w:t>
      </w:r>
    </w:p>
    <w:p w:rsidR="007E6137" w:rsidRDefault="007E6137" w:rsidP="007E6137">
      <w:pPr>
        <w:rPr>
          <w:rFonts w:ascii="Times New Roman" w:hAnsi="Times New Roman"/>
          <w:sz w:val="24"/>
          <w:szCs w:val="24"/>
        </w:rPr>
      </w:pPr>
    </w:p>
    <w:p w:rsidR="007E6137" w:rsidRDefault="007E6137" w:rsidP="007E6137">
      <w:pPr>
        <w:rPr>
          <w:rFonts w:ascii="Times New Roman" w:hAnsi="Times New Roman"/>
          <w:sz w:val="24"/>
          <w:szCs w:val="24"/>
        </w:rPr>
      </w:pPr>
    </w:p>
    <w:p w:rsidR="007E6137" w:rsidRDefault="007E6137" w:rsidP="007E6137">
      <w:pPr>
        <w:rPr>
          <w:rFonts w:ascii="Times New Roman" w:hAnsi="Times New Roman"/>
          <w:sz w:val="24"/>
          <w:szCs w:val="24"/>
        </w:rPr>
      </w:pPr>
      <w:r>
        <w:rPr>
          <w:rFonts w:ascii="Times New Roman" w:hAnsi="Times New Roman"/>
          <w:sz w:val="24"/>
          <w:szCs w:val="24"/>
        </w:rPr>
        <w:t xml:space="preserve">Jason  </w:t>
      </w:r>
    </w:p>
    <w:p w:rsidR="007E6137" w:rsidRPr="0003531E" w:rsidRDefault="007E6137" w:rsidP="007E6137">
      <w:pPr>
        <w:rPr>
          <w:rFonts w:ascii="Times New Roman" w:hAnsi="Times New Roman"/>
          <w:sz w:val="24"/>
          <w:szCs w:val="24"/>
        </w:rPr>
      </w:pPr>
    </w:p>
    <w:sectPr w:rsidR="007E6137" w:rsidRPr="0003531E" w:rsidSect="00A31240">
      <w:headerReference w:type="default" r:id="rId17"/>
      <w:footerReference w:type="default" r:id="rId18"/>
      <w:headerReference w:type="first" r:id="rId19"/>
      <w:footerReference w:type="first" r:id="rId20"/>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5A" w:rsidRDefault="00F6125A" w:rsidP="000C1926">
      <w:pPr>
        <w:spacing w:after="0" w:line="240" w:lineRule="auto"/>
      </w:pPr>
      <w:r>
        <w:separator/>
      </w:r>
    </w:p>
  </w:endnote>
  <w:endnote w:type="continuationSeparator" w:id="0">
    <w:p w:rsidR="00F6125A" w:rsidRDefault="00F6125A" w:rsidP="000C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050030"/>
      <w:docPartObj>
        <w:docPartGallery w:val="Page Numbers (Bottom of Page)"/>
        <w:docPartUnique/>
      </w:docPartObj>
    </w:sdtPr>
    <w:sdtEndPr>
      <w:rPr>
        <w:noProof/>
      </w:rPr>
    </w:sdtEndPr>
    <w:sdtContent>
      <w:p w:rsidR="000C1926" w:rsidRPr="00BB1327" w:rsidRDefault="00E45005" w:rsidP="00B66802">
        <w:pPr>
          <w:pStyle w:val="Footer"/>
          <w:tabs>
            <w:tab w:val="center" w:pos="4536"/>
            <w:tab w:val="right" w:pos="9072"/>
          </w:tabs>
          <w:jc w:val="center"/>
          <w:rPr>
            <w:spacing w:val="30"/>
          </w:rPr>
        </w:pPr>
        <w:r>
          <w:rPr>
            <w:spacing w:val="30"/>
            <w:sz w:val="16"/>
            <w:szCs w:val="16"/>
          </w:rPr>
          <w:t>www.Katonah</w:t>
        </w:r>
        <w:r w:rsidR="000C1926" w:rsidRPr="00BB1327">
          <w:rPr>
            <w:spacing w:val="30"/>
            <w:sz w:val="16"/>
            <w:szCs w:val="16"/>
          </w:rPr>
          <w:t>CapitalGroup.com</w:t>
        </w:r>
      </w:p>
      <w:p w:rsidR="000C1926" w:rsidRDefault="000C1926">
        <w:pPr>
          <w:pStyle w:val="Footer"/>
          <w:jc w:val="center"/>
        </w:pPr>
        <w:r w:rsidRPr="00B66802">
          <w:rPr>
            <w:noProof/>
            <w:color w:val="943634" w:themeColor="accent2" w:themeShade="BF"/>
          </w:rPr>
          <mc:AlternateContent>
            <mc:Choice Requires="wps">
              <w:drawing>
                <wp:anchor distT="0" distB="0" distL="114300" distR="114300" simplePos="0" relativeHeight="251659264" behindDoc="0" locked="0" layoutInCell="1" allowOverlap="1" wp14:anchorId="42B454B6" wp14:editId="1B22A41C">
                  <wp:simplePos x="0" y="0"/>
                  <wp:positionH relativeFrom="column">
                    <wp:posOffset>-180975</wp:posOffset>
                  </wp:positionH>
                  <wp:positionV relativeFrom="paragraph">
                    <wp:posOffset>26670</wp:posOffset>
                  </wp:positionV>
                  <wp:extent cx="63817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381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2.1pt" to="48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C1926" w:rsidTr="000C1926">
          <w:tc>
            <w:tcPr>
              <w:tcW w:w="3192" w:type="dxa"/>
            </w:tcPr>
            <w:p w:rsidR="000C1926" w:rsidRDefault="000C1926">
              <w:pPr>
                <w:pStyle w:val="Footer"/>
                <w:jc w:val="center"/>
              </w:pPr>
              <w:r w:rsidRPr="00AA7691">
                <w:rPr>
                  <w:sz w:val="16"/>
                  <w:szCs w:val="16"/>
                </w:rPr>
                <w:t>Investment Advisor services offered through Income &amp; Asset Advisory, Inc., an SEC Registered Investment Advisor,</w:t>
              </w:r>
            </w:p>
          </w:tc>
          <w:tc>
            <w:tcPr>
              <w:tcW w:w="3192" w:type="dxa"/>
            </w:tcPr>
            <w:p w:rsidR="000C1926" w:rsidRDefault="000C1926">
              <w:pPr>
                <w:pStyle w:val="Footer"/>
                <w:jc w:val="center"/>
              </w:pPr>
              <w:r w:rsidRPr="00AA7691">
                <w:rPr>
                  <w:sz w:val="16"/>
                  <w:szCs w:val="16"/>
                </w:rPr>
                <w:t xml:space="preserve">Registered Representative offering securities through American Portfolios Financial Services, Inc., member: FINRA and SIPC; d/b/a Katonah Capital Group, LLC.  </w:t>
              </w:r>
            </w:p>
          </w:tc>
          <w:tc>
            <w:tcPr>
              <w:tcW w:w="3192" w:type="dxa"/>
            </w:tcPr>
            <w:p w:rsidR="000C1926" w:rsidRDefault="000C1926">
              <w:pPr>
                <w:pStyle w:val="Footer"/>
                <w:jc w:val="center"/>
              </w:pPr>
              <w:r w:rsidRPr="00AA7691">
                <w:rPr>
                  <w:sz w:val="16"/>
                  <w:szCs w:val="16"/>
                </w:rPr>
                <w:t>American Portfolios, Income &amp; Asset Advisory Inc., and Katonah Capital Group, LLC are unaffiliated entities.</w:t>
              </w:r>
            </w:p>
          </w:tc>
        </w:tr>
      </w:tbl>
      <w:p w:rsidR="000C1926" w:rsidRDefault="000C1926">
        <w:pPr>
          <w:pStyle w:val="Footer"/>
          <w:jc w:val="center"/>
        </w:pPr>
        <w:r>
          <w:fldChar w:fldCharType="begin"/>
        </w:r>
        <w:r>
          <w:instrText xml:space="preserve"> PAGE   \* MERGEFORMAT </w:instrText>
        </w:r>
        <w:r>
          <w:fldChar w:fldCharType="separate"/>
        </w:r>
        <w:r w:rsidR="0052261D">
          <w:rPr>
            <w:noProof/>
          </w:rPr>
          <w:t>6</w:t>
        </w:r>
        <w:r>
          <w:rPr>
            <w:noProof/>
          </w:rPr>
          <w:fldChar w:fldCharType="end"/>
        </w:r>
      </w:p>
    </w:sdtContent>
  </w:sdt>
  <w:p w:rsidR="000C1926" w:rsidRDefault="000C19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2E" w:rsidRPr="00BB1327" w:rsidRDefault="00E45005" w:rsidP="00D6042E">
    <w:pPr>
      <w:pStyle w:val="Footer"/>
      <w:tabs>
        <w:tab w:val="center" w:pos="4536"/>
        <w:tab w:val="right" w:pos="9072"/>
      </w:tabs>
      <w:jc w:val="center"/>
      <w:rPr>
        <w:spacing w:val="30"/>
      </w:rPr>
    </w:pPr>
    <w:r>
      <w:rPr>
        <w:spacing w:val="30"/>
        <w:sz w:val="16"/>
        <w:szCs w:val="16"/>
      </w:rPr>
      <w:t>www.Katonah</w:t>
    </w:r>
    <w:r w:rsidR="00D6042E" w:rsidRPr="00BB1327">
      <w:rPr>
        <w:spacing w:val="30"/>
        <w:sz w:val="16"/>
        <w:szCs w:val="16"/>
      </w:rPr>
      <w:t>CapitalGroup.com</w:t>
    </w:r>
  </w:p>
  <w:p w:rsidR="00D6042E" w:rsidRDefault="00D6042E" w:rsidP="00D6042E">
    <w:pPr>
      <w:pStyle w:val="Footer"/>
      <w:jc w:val="center"/>
    </w:pPr>
    <w:r w:rsidRPr="00B66802">
      <w:rPr>
        <w:noProof/>
        <w:color w:val="943634" w:themeColor="accent2" w:themeShade="BF"/>
      </w:rPr>
      <mc:AlternateContent>
        <mc:Choice Requires="wps">
          <w:drawing>
            <wp:anchor distT="0" distB="0" distL="114300" distR="114300" simplePos="0" relativeHeight="251661312" behindDoc="0" locked="0" layoutInCell="1" allowOverlap="1" wp14:anchorId="1AFE7F6B" wp14:editId="306AFD05">
              <wp:simplePos x="0" y="0"/>
              <wp:positionH relativeFrom="column">
                <wp:posOffset>-180975</wp:posOffset>
              </wp:positionH>
              <wp:positionV relativeFrom="paragraph">
                <wp:posOffset>26670</wp:posOffset>
              </wp:positionV>
              <wp:extent cx="63817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381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2.1pt" to="48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6042E" w:rsidTr="00565EF7">
      <w:tc>
        <w:tcPr>
          <w:tcW w:w="3192" w:type="dxa"/>
        </w:tcPr>
        <w:p w:rsidR="00D6042E" w:rsidRDefault="00D6042E" w:rsidP="00565EF7">
          <w:pPr>
            <w:pStyle w:val="Footer"/>
            <w:jc w:val="center"/>
          </w:pPr>
          <w:r w:rsidRPr="00AA7691">
            <w:rPr>
              <w:sz w:val="16"/>
              <w:szCs w:val="16"/>
            </w:rPr>
            <w:t>Investment Advisor services offered through Income &amp; Asset Advisory, Inc., an SEC Registered Investment Advisor,</w:t>
          </w:r>
        </w:p>
      </w:tc>
      <w:tc>
        <w:tcPr>
          <w:tcW w:w="3192" w:type="dxa"/>
        </w:tcPr>
        <w:p w:rsidR="00D6042E" w:rsidRDefault="00D6042E" w:rsidP="00565EF7">
          <w:pPr>
            <w:pStyle w:val="Footer"/>
            <w:jc w:val="center"/>
          </w:pPr>
          <w:r w:rsidRPr="00AA7691">
            <w:rPr>
              <w:sz w:val="16"/>
              <w:szCs w:val="16"/>
            </w:rPr>
            <w:t xml:space="preserve">Registered Representative offering securities through American Portfolios Financial Services, Inc., member: FINRA and SIPC; d/b/a Katonah Capital Group, LLC.  </w:t>
          </w:r>
        </w:p>
      </w:tc>
      <w:tc>
        <w:tcPr>
          <w:tcW w:w="3192" w:type="dxa"/>
        </w:tcPr>
        <w:p w:rsidR="00D6042E" w:rsidRDefault="00D6042E" w:rsidP="00565EF7">
          <w:pPr>
            <w:pStyle w:val="Footer"/>
            <w:jc w:val="center"/>
          </w:pPr>
          <w:r w:rsidRPr="00AA7691">
            <w:rPr>
              <w:sz w:val="16"/>
              <w:szCs w:val="16"/>
            </w:rPr>
            <w:t>American Portfolios, Income &amp; Asset Advisory Inc., and Katonah Capital Group, LLC are unaffiliated entities.</w:t>
          </w:r>
        </w:p>
      </w:tc>
    </w:tr>
  </w:tbl>
  <w:p w:rsidR="00D6042E" w:rsidRDefault="00D60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5A" w:rsidRDefault="00F6125A" w:rsidP="000C1926">
      <w:pPr>
        <w:spacing w:after="0" w:line="240" w:lineRule="auto"/>
      </w:pPr>
      <w:r>
        <w:separator/>
      </w:r>
    </w:p>
  </w:footnote>
  <w:footnote w:type="continuationSeparator" w:id="0">
    <w:p w:rsidR="00F6125A" w:rsidRDefault="00F6125A" w:rsidP="000C1926">
      <w:pPr>
        <w:spacing w:after="0" w:line="240" w:lineRule="auto"/>
      </w:pPr>
      <w:r>
        <w:continuationSeparator/>
      </w:r>
    </w:p>
  </w:footnote>
  <w:footnote w:id="1">
    <w:p w:rsidR="007E6137" w:rsidRDefault="007E6137" w:rsidP="002174C9">
      <w:pPr>
        <w:pStyle w:val="FootnoteText"/>
        <w:spacing w:after="0"/>
      </w:pPr>
      <w:r>
        <w:rPr>
          <w:rStyle w:val="FootnoteReference"/>
        </w:rPr>
        <w:footnoteRef/>
      </w:r>
      <w:r>
        <w:t xml:space="preserve"> </w:t>
      </w:r>
      <w:hyperlink r:id="rId1" w:history="1">
        <w:r>
          <w:rPr>
            <w:rStyle w:val="Hyperlink"/>
          </w:rPr>
          <w:t>https://app.hedgeye.com/insights/80789-cartoon-of-the-day-sanitary?type=cartoons</w:t>
        </w:r>
      </w:hyperlink>
      <w:r>
        <w:t>; Hedgeye Research Reports</w:t>
      </w:r>
    </w:p>
  </w:footnote>
  <w:footnote w:id="2">
    <w:p w:rsidR="007E6137" w:rsidRDefault="007E6137" w:rsidP="002174C9">
      <w:pPr>
        <w:pStyle w:val="FootnoteText"/>
        <w:spacing w:after="0"/>
      </w:pPr>
      <w:r>
        <w:rPr>
          <w:rStyle w:val="FootnoteReference"/>
        </w:rPr>
        <w:footnoteRef/>
      </w:r>
      <w:r>
        <w:t xml:space="preserve"> </w:t>
      </w:r>
      <w:proofErr w:type="gramStart"/>
      <w:r>
        <w:t>Lowry Market Trend Analysis for the Week Ending March 27, 2020; pg. 1.</w:t>
      </w:r>
      <w:proofErr w:type="gramEnd"/>
    </w:p>
  </w:footnote>
  <w:footnote w:id="3">
    <w:p w:rsidR="007E6137" w:rsidRDefault="007E6137" w:rsidP="002174C9">
      <w:pPr>
        <w:pStyle w:val="FootnoteText"/>
        <w:spacing w:after="0"/>
      </w:pPr>
      <w:r>
        <w:rPr>
          <w:rStyle w:val="FootnoteReference"/>
        </w:rPr>
        <w:footnoteRef/>
      </w:r>
      <w:r>
        <w:t xml:space="preserve"> Data from TC2000</w:t>
      </w:r>
    </w:p>
  </w:footnote>
  <w:footnote w:id="4">
    <w:p w:rsidR="007E6137" w:rsidRDefault="007E6137" w:rsidP="002174C9">
      <w:pPr>
        <w:pStyle w:val="FootnoteText"/>
        <w:spacing w:after="0"/>
      </w:pPr>
      <w:r>
        <w:rPr>
          <w:rStyle w:val="FootnoteReference"/>
        </w:rPr>
        <w:footnoteRef/>
      </w:r>
      <w:r>
        <w:t xml:space="preserve"> </w:t>
      </w:r>
      <w:hyperlink r:id="rId2" w:anchor="section-background_2d70_background_sectionheaderwithtab" w:history="1">
        <w:r>
          <w:rPr>
            <w:rStyle w:val="Hyperlink"/>
          </w:rPr>
          <w:t>https://www.gsam.com/content/gsam/us/en/advisors/market-insights.html#section-background_2d70_background_sectionheaderwithtab</w:t>
        </w:r>
      </w:hyperlink>
    </w:p>
  </w:footnote>
  <w:footnote w:id="5">
    <w:p w:rsidR="007E6137" w:rsidRDefault="007E6137" w:rsidP="002174C9">
      <w:pPr>
        <w:pStyle w:val="FootnoteText"/>
        <w:spacing w:after="0"/>
      </w:pPr>
      <w:r>
        <w:rPr>
          <w:rStyle w:val="FootnoteReference"/>
        </w:rPr>
        <w:footnoteRef/>
      </w:r>
      <w:r>
        <w:t xml:space="preserve"> </w:t>
      </w:r>
      <w:hyperlink r:id="rId3" w:history="1">
        <w:r>
          <w:rPr>
            <w:rStyle w:val="Hyperlink"/>
          </w:rPr>
          <w:t>https://www.fa-mag.com/news/a-bottoming-process-begins--10-themes-to-consider-54669.html</w:t>
        </w:r>
      </w:hyperlink>
    </w:p>
  </w:footnote>
  <w:footnote w:id="6">
    <w:p w:rsidR="007E6137" w:rsidRDefault="007E6137" w:rsidP="002174C9">
      <w:pPr>
        <w:pStyle w:val="FootnoteText"/>
        <w:spacing w:after="0"/>
      </w:pPr>
      <w:r>
        <w:rPr>
          <w:rStyle w:val="FootnoteReference"/>
        </w:rPr>
        <w:footnoteRef/>
      </w:r>
      <w:r>
        <w:t xml:space="preserve"> </w:t>
      </w:r>
      <w:hyperlink r:id="rId4" w:history="1">
        <w:r>
          <w:rPr>
            <w:rStyle w:val="Hyperlink"/>
          </w:rPr>
          <w:t>https://www.cnbc.com/2020/03/31/stock-market-today-live.html</w:t>
        </w:r>
      </w:hyperlink>
    </w:p>
  </w:footnote>
  <w:footnote w:id="7">
    <w:p w:rsidR="007E6137" w:rsidRDefault="007E6137" w:rsidP="002174C9">
      <w:pPr>
        <w:pStyle w:val="FootnoteText"/>
        <w:spacing w:after="0"/>
      </w:pPr>
      <w:r>
        <w:rPr>
          <w:rStyle w:val="FootnoteReference"/>
        </w:rPr>
        <w:footnoteRef/>
      </w:r>
      <w:r>
        <w:t xml:space="preserve"> </w:t>
      </w:r>
      <w:proofErr w:type="gramStart"/>
      <w:r>
        <w:t>Ibid. #5.</w:t>
      </w:r>
      <w:proofErr w:type="gramEnd"/>
      <w:r>
        <w:t xml:space="preserve"> </w:t>
      </w:r>
    </w:p>
  </w:footnote>
  <w:footnote w:id="8">
    <w:p w:rsidR="007E6137" w:rsidRDefault="007E6137" w:rsidP="002174C9">
      <w:pPr>
        <w:pStyle w:val="FootnoteText"/>
        <w:spacing w:after="0"/>
      </w:pPr>
      <w:r>
        <w:rPr>
          <w:rStyle w:val="FootnoteReference"/>
        </w:rPr>
        <w:footnoteRef/>
      </w:r>
      <w:r>
        <w:t xml:space="preserve"> </w:t>
      </w:r>
      <w:hyperlink r:id="rId5" w:history="1">
        <w:r>
          <w:rPr>
            <w:rStyle w:val="Hyperlink"/>
          </w:rPr>
          <w:t>https://www.oaktreecapital.com/insights/howard-marks-memos</w:t>
        </w:r>
      </w:hyperlink>
    </w:p>
  </w:footnote>
  <w:footnote w:id="9">
    <w:p w:rsidR="007E6137" w:rsidRDefault="007E6137" w:rsidP="002174C9">
      <w:pPr>
        <w:pStyle w:val="FootnoteText"/>
        <w:spacing w:after="0"/>
      </w:pPr>
      <w:r>
        <w:rPr>
          <w:rStyle w:val="FootnoteReference"/>
        </w:rPr>
        <w:footnoteRef/>
      </w:r>
      <w:r>
        <w:t xml:space="preserve"> </w:t>
      </w:r>
      <w:hyperlink r:id="rId6" w:history="1">
        <w:r>
          <w:rPr>
            <w:rStyle w:val="Hyperlink"/>
          </w:rPr>
          <w:t>https://en.wikipedia.org/wiki/Institute_of_International_Finance</w:t>
        </w:r>
      </w:hyperlink>
    </w:p>
  </w:footnote>
  <w:footnote w:id="10">
    <w:p w:rsidR="007E6137" w:rsidRDefault="007E6137" w:rsidP="002174C9">
      <w:pPr>
        <w:pStyle w:val="FootnoteText"/>
        <w:spacing w:after="0"/>
      </w:pPr>
      <w:r>
        <w:rPr>
          <w:rStyle w:val="FootnoteReference"/>
        </w:rPr>
        <w:footnoteRef/>
      </w:r>
      <w:r>
        <w:t xml:space="preserve"> </w:t>
      </w:r>
      <w:hyperlink r:id="rId7" w:history="1">
        <w:r>
          <w:rPr>
            <w:rStyle w:val="Hyperlink"/>
          </w:rPr>
          <w:t>https://www.cnbc.com/2020/01/14/global-debt-hits-all-time-high-of-nearly-253-dollars--iif-says.html</w:t>
        </w:r>
      </w:hyperlink>
    </w:p>
  </w:footnote>
  <w:footnote w:id="11">
    <w:p w:rsidR="007E6137" w:rsidRDefault="007E6137" w:rsidP="002174C9">
      <w:pPr>
        <w:pStyle w:val="FootnoteText"/>
        <w:spacing w:after="0"/>
      </w:pPr>
      <w:r>
        <w:rPr>
          <w:rStyle w:val="FootnoteReference"/>
        </w:rPr>
        <w:footnoteRef/>
      </w:r>
      <w:r>
        <w:t xml:space="preserve"> </w:t>
      </w:r>
      <w:hyperlink r:id="rId8" w:history="1">
        <w:r>
          <w:rPr>
            <w:rStyle w:val="Hyperlink"/>
          </w:rPr>
          <w:t>https://data.worldbank.org/indicator/NY.GDP.MKTP.CD</w:t>
        </w:r>
      </w:hyperlink>
    </w:p>
  </w:footnote>
  <w:footnote w:id="12">
    <w:p w:rsidR="007E6137" w:rsidRDefault="007E6137" w:rsidP="002174C9">
      <w:pPr>
        <w:pStyle w:val="FootnoteText"/>
        <w:spacing w:after="0"/>
      </w:pPr>
      <w:r>
        <w:rPr>
          <w:rStyle w:val="FootnoteReference"/>
        </w:rPr>
        <w:footnoteRef/>
      </w:r>
      <w:r>
        <w:t xml:space="preserve"> </w:t>
      </w:r>
      <w:proofErr w:type="gramStart"/>
      <w:r>
        <w:t>Op. cit. #9.</w:t>
      </w:r>
      <w:proofErr w:type="gramEnd"/>
      <w:r>
        <w:t xml:space="preserve"> </w:t>
      </w:r>
    </w:p>
  </w:footnote>
  <w:footnote w:id="13">
    <w:p w:rsidR="007E6137" w:rsidRDefault="007E6137" w:rsidP="002174C9">
      <w:pPr>
        <w:pStyle w:val="FootnoteText"/>
        <w:spacing w:after="0"/>
      </w:pPr>
      <w:r>
        <w:rPr>
          <w:rStyle w:val="FootnoteReference"/>
        </w:rPr>
        <w:footnoteRef/>
      </w:r>
      <w:r>
        <w:t xml:space="preserve"> </w:t>
      </w:r>
      <w:hyperlink r:id="rId9" w:history="1">
        <w:r>
          <w:rPr>
            <w:rStyle w:val="Hyperlink"/>
          </w:rPr>
          <w:t>https://snbchf.com/2018/02/skoyles-debt-crisis-ii-cometh/goldcore_chart4_14-05-15-png/</w:t>
        </w:r>
      </w:hyperlink>
    </w:p>
  </w:footnote>
  <w:footnote w:id="14">
    <w:p w:rsidR="007E6137" w:rsidRDefault="007E6137" w:rsidP="002174C9">
      <w:pPr>
        <w:pStyle w:val="FootnoteText"/>
        <w:spacing w:after="0"/>
      </w:pPr>
      <w:r>
        <w:rPr>
          <w:rStyle w:val="FootnoteReference"/>
        </w:rPr>
        <w:footnoteRef/>
      </w:r>
      <w:r>
        <w:t xml:space="preserve"> </w:t>
      </w:r>
      <w:r w:rsidRPr="006E4F68">
        <w:t>“Global Outlook Collapsing Before Crisis”</w:t>
      </w:r>
      <w:r>
        <w:t>; FT, April 13, 2020; pg.2</w:t>
      </w:r>
    </w:p>
  </w:footnote>
  <w:footnote w:id="15">
    <w:p w:rsidR="007E6137" w:rsidRDefault="007E6137" w:rsidP="002174C9">
      <w:pPr>
        <w:pStyle w:val="FootnoteText"/>
        <w:spacing w:after="0"/>
      </w:pPr>
      <w:r>
        <w:rPr>
          <w:rStyle w:val="FootnoteReference"/>
        </w:rPr>
        <w:footnoteRef/>
      </w:r>
      <w:r>
        <w:t xml:space="preserve"> </w:t>
      </w:r>
      <w:hyperlink r:id="rId10" w:history="1">
        <w:r>
          <w:rPr>
            <w:rStyle w:val="Hyperlink"/>
          </w:rPr>
          <w:t>https://www.ft.com/content/9ac5eb8e-4167-4a54-9b39-dab48c29ac6c</w:t>
        </w:r>
      </w:hyperlink>
      <w:r>
        <w:t xml:space="preserve"> </w:t>
      </w:r>
    </w:p>
  </w:footnote>
  <w:footnote w:id="16">
    <w:p w:rsidR="007E6137" w:rsidRDefault="007E6137" w:rsidP="007E6137">
      <w:pPr>
        <w:pStyle w:val="FootnoteText"/>
      </w:pPr>
      <w:r>
        <w:rPr>
          <w:rStyle w:val="FootnoteReference"/>
        </w:rPr>
        <w:footnoteRef/>
      </w:r>
      <w:r>
        <w:t xml:space="preserve"> </w:t>
      </w:r>
      <w:hyperlink r:id="rId11" w:history="1">
        <w:r>
          <w:rPr>
            <w:rStyle w:val="Hyperlink"/>
          </w:rPr>
          <w:t>https://www.advisorperspectives.com/articles/2020/03/24/preliminary-thoughts-the-new-world-order</w:t>
        </w:r>
      </w:hyperlink>
    </w:p>
  </w:footnote>
  <w:footnote w:id="17">
    <w:p w:rsidR="007E6137" w:rsidRDefault="007E6137" w:rsidP="002174C9">
      <w:pPr>
        <w:pStyle w:val="FootnoteText"/>
        <w:spacing w:after="0"/>
      </w:pPr>
      <w:r>
        <w:rPr>
          <w:rStyle w:val="FootnoteReference"/>
        </w:rPr>
        <w:footnoteRef/>
      </w:r>
      <w:r>
        <w:t xml:space="preserve"> </w:t>
      </w:r>
      <w:proofErr w:type="gramStart"/>
      <w:r>
        <w:t>Hedgeye Market Edges; April 6, 2020; various pages.</w:t>
      </w:r>
      <w:proofErr w:type="gramEnd"/>
    </w:p>
  </w:footnote>
  <w:footnote w:id="18">
    <w:p w:rsidR="007E6137" w:rsidRDefault="007E6137" w:rsidP="002174C9">
      <w:pPr>
        <w:pStyle w:val="FootnoteText"/>
        <w:spacing w:after="0"/>
      </w:pPr>
      <w:r>
        <w:rPr>
          <w:rStyle w:val="FootnoteReference"/>
        </w:rPr>
        <w:footnoteRef/>
      </w:r>
      <w:r>
        <w:t xml:space="preserve"> Op. cit. #16</w:t>
      </w:r>
    </w:p>
  </w:footnote>
  <w:footnote w:id="19">
    <w:p w:rsidR="007E6137" w:rsidRDefault="007E6137" w:rsidP="007E6137">
      <w:pPr>
        <w:pStyle w:val="FootnoteText"/>
      </w:pPr>
      <w:r>
        <w:rPr>
          <w:rStyle w:val="FootnoteReference"/>
        </w:rPr>
        <w:footnoteRef/>
      </w:r>
      <w:r>
        <w:t xml:space="preserve"> “Pandemic Will Destroy Equivalent of 195m Jobs Globally, Warns UN”;  FT,  April 8, 2020;  pg.1</w:t>
      </w:r>
    </w:p>
  </w:footnote>
  <w:footnote w:id="20">
    <w:p w:rsidR="007E6137" w:rsidRDefault="007E6137" w:rsidP="002174C9">
      <w:pPr>
        <w:pStyle w:val="FootnoteText"/>
        <w:spacing w:after="0"/>
      </w:pPr>
      <w:r>
        <w:rPr>
          <w:rStyle w:val="FootnoteReference"/>
        </w:rPr>
        <w:footnoteRef/>
      </w:r>
      <w:r>
        <w:t xml:space="preserve"> </w:t>
      </w:r>
      <w:r w:rsidRPr="001C1834">
        <w:t xml:space="preserve"> </w:t>
      </w:r>
      <w:hyperlink r:id="rId12" w:history="1">
        <w:r w:rsidRPr="001C1834">
          <w:rPr>
            <w:rStyle w:val="Hyperlink"/>
          </w:rPr>
          <w:t>https://www.troweprice.com/financial-intermediary/us/en/insights/articles/2018/q4/quarterly-market-review.html?cid=BD_TP6A_BD_Play2&amp;bid=128904226&amp;PlacementGUID=em_USI_USI_MktActivation_Play2_MonthlyMarket_E6-BD_TP6A_BD_Play2_20190123</w:t>
        </w:r>
      </w:hyperlink>
    </w:p>
  </w:footnote>
  <w:footnote w:id="21">
    <w:p w:rsidR="007E6137" w:rsidRDefault="007E6137" w:rsidP="002174C9">
      <w:pPr>
        <w:pStyle w:val="FootnoteText"/>
        <w:spacing w:after="0"/>
      </w:pPr>
      <w:r>
        <w:rPr>
          <w:rStyle w:val="FootnoteReference"/>
        </w:rPr>
        <w:footnoteRef/>
      </w:r>
      <w:r>
        <w:t xml:space="preserve"> </w:t>
      </w:r>
      <w:hyperlink r:id="rId13" w:history="1">
        <w:r>
          <w:rPr>
            <w:rStyle w:val="Hyperlink"/>
          </w:rPr>
          <w:t>https://www.bloomberg.com/news/articles/2019-07-23/quantitative-tightening-to-end-as-central-banks-sound-retreat</w:t>
        </w:r>
      </w:hyperlink>
    </w:p>
  </w:footnote>
  <w:footnote w:id="22">
    <w:p w:rsidR="007E6137" w:rsidRDefault="007E6137" w:rsidP="007E6137">
      <w:pPr>
        <w:pStyle w:val="FootnoteText"/>
      </w:pPr>
      <w:r>
        <w:rPr>
          <w:rStyle w:val="FootnoteReference"/>
        </w:rPr>
        <w:footnoteRef/>
      </w:r>
      <w:r>
        <w:t xml:space="preserve"> “Emergency Purchases: Fed Relieves Strain but Balance Sheet Likely to Top $9tn by End of Year”;  FT April 6, 2020;  pg.6</w:t>
      </w:r>
    </w:p>
  </w:footnote>
  <w:footnote w:id="23">
    <w:p w:rsidR="007E6137" w:rsidRDefault="007E6137" w:rsidP="007E6137">
      <w:pPr>
        <w:pStyle w:val="FootnoteText"/>
      </w:pPr>
      <w:r>
        <w:rPr>
          <w:rStyle w:val="FootnoteReference"/>
        </w:rPr>
        <w:footnoteRef/>
      </w:r>
      <w:r>
        <w:t xml:space="preserve"> </w:t>
      </w:r>
      <w:hyperlink r:id="rId14" w:history="1">
        <w:r>
          <w:rPr>
            <w:rStyle w:val="Hyperlink"/>
          </w:rPr>
          <w:t>https://wolfstreet.com/2020/04/09/qe-4-cut-in-half-this-week-but-still-1-8-tn-helicopter-money-for-wall-street-and-wealthy-in-4-weeks-of-federal-reserve-balance-sheet-money-printing-and-bailouts/</w:t>
        </w:r>
      </w:hyperlink>
    </w:p>
  </w:footnote>
  <w:footnote w:id="24">
    <w:p w:rsidR="007E6137" w:rsidRDefault="007E6137" w:rsidP="007E6137">
      <w:pPr>
        <w:pStyle w:val="FootnoteText"/>
      </w:pPr>
      <w:r>
        <w:rPr>
          <w:rStyle w:val="FootnoteReference"/>
        </w:rPr>
        <w:footnoteRef/>
      </w:r>
      <w:r>
        <w:t xml:space="preserve"> </w:t>
      </w:r>
      <w:hyperlink r:id="rId15" w:history="1">
        <w:r>
          <w:rPr>
            <w:rStyle w:val="Hyperlink"/>
          </w:rPr>
          <w:t>https://www.washingtonpost.com/business/on-small-business/the-feds-cure-risks-being-worse-than-the-disease/2020/03/27/56357a52-7023-11ea-a156-0048b62cdb51_story.html</w:t>
        </w:r>
      </w:hyperlink>
    </w:p>
  </w:footnote>
  <w:footnote w:id="25">
    <w:p w:rsidR="007E6137" w:rsidRDefault="007E6137" w:rsidP="002174C9">
      <w:pPr>
        <w:pStyle w:val="FootnoteText"/>
        <w:spacing w:after="0"/>
      </w:pPr>
      <w:r>
        <w:rPr>
          <w:rStyle w:val="FootnoteReference"/>
        </w:rPr>
        <w:footnoteRef/>
      </w:r>
      <w:r>
        <w:t xml:space="preserve"> Op. cit. #15</w:t>
      </w:r>
    </w:p>
  </w:footnote>
  <w:footnote w:id="26">
    <w:p w:rsidR="007E6137" w:rsidRDefault="007E6137" w:rsidP="002174C9">
      <w:pPr>
        <w:pStyle w:val="FootnoteText"/>
        <w:spacing w:after="0"/>
      </w:pPr>
      <w:r>
        <w:rPr>
          <w:rStyle w:val="FootnoteReference"/>
        </w:rPr>
        <w:footnoteRef/>
      </w:r>
      <w:r>
        <w:t xml:space="preserve"> </w:t>
      </w:r>
      <w:hyperlink r:id="rId16" w:history="1">
        <w:r>
          <w:rPr>
            <w:rStyle w:val="Hyperlink"/>
          </w:rPr>
          <w:t>https://www.bis.org/publ/otc_hy1911.htm</w:t>
        </w:r>
      </w:hyperlink>
      <w:r>
        <w:t xml:space="preserve"> </w:t>
      </w:r>
    </w:p>
  </w:footnote>
  <w:footnote w:id="27">
    <w:p w:rsidR="007E6137" w:rsidRDefault="007E6137" w:rsidP="002174C9">
      <w:pPr>
        <w:pStyle w:val="FootnoteText"/>
        <w:spacing w:after="0"/>
      </w:pPr>
      <w:r>
        <w:rPr>
          <w:rStyle w:val="FootnoteReference"/>
        </w:rPr>
        <w:footnoteRef/>
      </w:r>
      <w:r>
        <w:t xml:space="preserve"> </w:t>
      </w:r>
      <w:hyperlink r:id="rId17" w:history="1">
        <w:r>
          <w:rPr>
            <w:rStyle w:val="Hyperlink"/>
          </w:rPr>
          <w:t>https://www.cnn.com/2019/03/31/investing/stocks-week-ahead-zombie-companies-debt/index.html</w:t>
        </w:r>
      </w:hyperlink>
    </w:p>
  </w:footnote>
  <w:footnote w:id="28">
    <w:p w:rsidR="007E6137" w:rsidRDefault="007E6137" w:rsidP="002174C9">
      <w:pPr>
        <w:pStyle w:val="FootnoteText"/>
        <w:spacing w:after="0"/>
      </w:pPr>
      <w:r>
        <w:rPr>
          <w:rStyle w:val="FootnoteReference"/>
        </w:rPr>
        <w:footnoteRef/>
      </w:r>
      <w:r>
        <w:t xml:space="preserve"> </w:t>
      </w:r>
      <w:hyperlink r:id="rId18" w:history="1">
        <w:r>
          <w:rPr>
            <w:rStyle w:val="Hyperlink"/>
          </w:rPr>
          <w:t>https://www.bis.org/publ/qtrpdf/r_qt1809g.pdf</w:t>
        </w:r>
      </w:hyperlink>
    </w:p>
  </w:footnote>
  <w:footnote w:id="29">
    <w:p w:rsidR="007E6137" w:rsidRDefault="007E6137" w:rsidP="002174C9">
      <w:pPr>
        <w:pStyle w:val="FootnoteText"/>
        <w:spacing w:after="0"/>
      </w:pPr>
      <w:r>
        <w:rPr>
          <w:rStyle w:val="FootnoteReference"/>
        </w:rPr>
        <w:footnoteRef/>
      </w:r>
      <w:r>
        <w:t xml:space="preserve"> </w:t>
      </w:r>
      <w:hyperlink r:id="rId19" w:history="1">
        <w:r>
          <w:rPr>
            <w:rStyle w:val="Hyperlink"/>
          </w:rPr>
          <w:t>https://seekingalpha.com/article/4279910-for-small-caps-index-multiples-obscure-risks</w:t>
        </w:r>
      </w:hyperlink>
    </w:p>
  </w:footnote>
  <w:footnote w:id="30">
    <w:p w:rsidR="007E6137" w:rsidRDefault="007E6137" w:rsidP="002174C9">
      <w:pPr>
        <w:pStyle w:val="FootnoteText"/>
        <w:spacing w:after="0"/>
      </w:pPr>
      <w:r>
        <w:rPr>
          <w:rStyle w:val="FootnoteReference"/>
        </w:rPr>
        <w:footnoteRef/>
      </w:r>
      <w:r>
        <w:t xml:space="preserve"> Op. cit. #7; pg. 6 </w:t>
      </w:r>
    </w:p>
  </w:footnote>
  <w:footnote w:id="31">
    <w:p w:rsidR="007E6137" w:rsidRPr="003F4BCB" w:rsidRDefault="007E6137" w:rsidP="002174C9">
      <w:pPr>
        <w:pStyle w:val="FootnoteText"/>
        <w:spacing w:after="0"/>
        <w:rPr>
          <w:b/>
        </w:rPr>
      </w:pPr>
      <w:r>
        <w:rPr>
          <w:rStyle w:val="FootnoteReference"/>
        </w:rPr>
        <w:footnoteRef/>
      </w:r>
      <w:r>
        <w:t xml:space="preserve"> </w:t>
      </w:r>
      <w:r w:rsidRPr="003F4BCB">
        <w:t>Fund managers’ cash levels have hit their highest point since the September 11 terrorist attacks, with almost all investors expecting a global recession in 2020.</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26" w:rsidRPr="00BB1327" w:rsidRDefault="00A31240" w:rsidP="00B66802">
    <w:pPr>
      <w:pStyle w:val="Header"/>
      <w:jc w:val="center"/>
      <w:rPr>
        <w:rFonts w:ascii="Times New Roman" w:hAnsi="Times New Roman"/>
        <w:spacing w:val="40"/>
      </w:rPr>
    </w:pPr>
    <w:r w:rsidRPr="00BB1327">
      <w:rPr>
        <w:rFonts w:ascii="Times New Roman" w:hAnsi="Times New Roman"/>
        <w:b/>
        <w:color w:val="943634"/>
        <w:spacing w:val="74"/>
        <w:sz w:val="36"/>
        <w:szCs w:val="36"/>
        <w:u w:val="single"/>
      </w:rPr>
      <w:t>Katonah Capital Group, LLC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2E" w:rsidRPr="00BB1327" w:rsidRDefault="004B3693" w:rsidP="004B3693">
    <w:pPr>
      <w:pStyle w:val="Header"/>
      <w:rPr>
        <w:rFonts w:ascii="Times New Roman" w:hAnsi="Times New Roman"/>
        <w:b/>
        <w:color w:val="943634"/>
        <w:spacing w:val="74"/>
        <w:sz w:val="36"/>
        <w:szCs w:val="36"/>
        <w:u w:val="single"/>
      </w:rPr>
    </w:pPr>
    <w:r w:rsidRPr="004B3693">
      <w:rPr>
        <w:rFonts w:ascii="Times New Roman" w:hAnsi="Times New Roman"/>
        <w:b/>
        <w:color w:val="943634"/>
        <w:spacing w:val="74"/>
        <w:sz w:val="36"/>
        <w:szCs w:val="36"/>
      </w:rPr>
      <w:tab/>
    </w:r>
    <w:r w:rsidR="00D6042E" w:rsidRPr="00BB1327">
      <w:rPr>
        <w:rFonts w:ascii="Times New Roman" w:hAnsi="Times New Roman"/>
        <w:b/>
        <w:color w:val="943634"/>
        <w:spacing w:val="74"/>
        <w:sz w:val="36"/>
        <w:szCs w:val="36"/>
        <w:u w:val="single"/>
      </w:rPr>
      <w:t>Katonah Capital Group, LLC</w:t>
    </w:r>
  </w:p>
  <w:p w:rsidR="00A31240" w:rsidRPr="004B3693" w:rsidRDefault="00A31240" w:rsidP="00A31240">
    <w:pPr>
      <w:spacing w:after="0"/>
      <w:jc w:val="center"/>
      <w:rPr>
        <w:rFonts w:ascii="Times New Roman" w:hAnsi="Times New Roman"/>
        <w:spacing w:val="120"/>
        <w:sz w:val="20"/>
        <w:szCs w:val="20"/>
      </w:rPr>
    </w:pPr>
    <w:r w:rsidRPr="004B3693">
      <w:rPr>
        <w:rFonts w:ascii="Times New Roman" w:hAnsi="Times New Roman"/>
        <w:spacing w:val="120"/>
        <w:sz w:val="20"/>
        <w:szCs w:val="20"/>
      </w:rPr>
      <w:t>BALANCE IN A CHANGING WORLD</w:t>
    </w:r>
  </w:p>
  <w:p w:rsidR="00A31240" w:rsidRPr="00B66802" w:rsidRDefault="0052261D" w:rsidP="00A31240">
    <w:pPr>
      <w:spacing w:after="0"/>
      <w:jc w:val="center"/>
      <w:rPr>
        <w:rFonts w:ascii="Times New Roman" w:hAnsi="Times New Roman"/>
        <w:sz w:val="20"/>
        <w:szCs w:val="20"/>
      </w:rPr>
    </w:pPr>
    <w:hyperlink r:id="rId1" w:history="1">
      <w:r w:rsidR="00A31240" w:rsidRPr="00B66802">
        <w:rPr>
          <w:rStyle w:val="Hyperlink"/>
          <w:rFonts w:ascii="Times New Roman" w:hAnsi="Times New Roman"/>
          <w:color w:val="auto"/>
          <w:sz w:val="20"/>
          <w:szCs w:val="20"/>
          <w:u w:val="none"/>
        </w:rPr>
        <w:t>Jason@KatonahCapitalGroup.com</w:t>
      </w:r>
    </w:hyperlink>
  </w:p>
  <w:p w:rsidR="00A31240" w:rsidRPr="00BB1327" w:rsidRDefault="00A31240" w:rsidP="00A31240">
    <w:pPr>
      <w:spacing w:after="0"/>
      <w:jc w:val="center"/>
      <w:rPr>
        <w:rFonts w:ascii="Times New Roman" w:hAnsi="Times New Roman"/>
        <w:spacing w:val="24"/>
        <w:sz w:val="20"/>
        <w:szCs w:val="20"/>
      </w:rPr>
    </w:pPr>
    <w:r w:rsidRPr="00BB1327">
      <w:rPr>
        <w:rFonts w:ascii="Times New Roman" w:hAnsi="Times New Roman"/>
        <w:spacing w:val="24"/>
        <w:sz w:val="20"/>
        <w:szCs w:val="20"/>
      </w:rPr>
      <w:t xml:space="preserve">80 Business Park Drive, Suite 304 </w:t>
    </w:r>
    <w:r w:rsidRPr="00BB1327">
      <w:rPr>
        <w:rFonts w:ascii="Times New Roman" w:hAnsi="Times New Roman"/>
        <w:b/>
        <w:color w:val="943634"/>
        <w:spacing w:val="24"/>
        <w:sz w:val="20"/>
        <w:szCs w:val="20"/>
      </w:rPr>
      <w:t>•</w:t>
    </w:r>
    <w:r w:rsidRPr="00BB1327">
      <w:rPr>
        <w:rFonts w:ascii="Times New Roman" w:hAnsi="Times New Roman"/>
        <w:spacing w:val="24"/>
        <w:sz w:val="20"/>
        <w:szCs w:val="20"/>
      </w:rPr>
      <w:t xml:space="preserve"> Armonk, </w:t>
    </w:r>
    <w:smartTag w:uri="urn:schemas-microsoft-com:office:smarttags" w:element="State">
      <w:r w:rsidRPr="00BB1327">
        <w:rPr>
          <w:rFonts w:ascii="Times New Roman" w:hAnsi="Times New Roman"/>
          <w:spacing w:val="24"/>
          <w:sz w:val="20"/>
          <w:szCs w:val="20"/>
        </w:rPr>
        <w:t>NY</w:t>
      </w:r>
    </w:smartTag>
    <w:r w:rsidRPr="00BB1327">
      <w:rPr>
        <w:rFonts w:ascii="Times New Roman" w:hAnsi="Times New Roman"/>
        <w:spacing w:val="24"/>
        <w:sz w:val="20"/>
        <w:szCs w:val="20"/>
      </w:rPr>
      <w:t xml:space="preserve"> </w:t>
    </w:r>
    <w:smartTag w:uri="urn:schemas-microsoft-com:office:smarttags" w:element="PostalCode">
      <w:r w:rsidRPr="00BB1327">
        <w:rPr>
          <w:rFonts w:ascii="Times New Roman" w:hAnsi="Times New Roman"/>
          <w:spacing w:val="24"/>
          <w:sz w:val="20"/>
          <w:szCs w:val="20"/>
        </w:rPr>
        <w:t>10504</w:t>
      </w:r>
    </w:smartTag>
  </w:p>
  <w:p w:rsidR="00A31240" w:rsidRPr="00BB1327" w:rsidRDefault="00A31240" w:rsidP="00A31240">
    <w:pPr>
      <w:pStyle w:val="Header"/>
      <w:jc w:val="center"/>
      <w:rPr>
        <w:rFonts w:ascii="Times New Roman" w:hAnsi="Times New Roman"/>
        <w:spacing w:val="40"/>
      </w:rPr>
    </w:pPr>
    <w:proofErr w:type="gramStart"/>
    <w:r w:rsidRPr="00BB1327">
      <w:rPr>
        <w:rFonts w:ascii="Times New Roman" w:hAnsi="Times New Roman"/>
        <w:i/>
        <w:color w:val="943634"/>
        <w:spacing w:val="40"/>
        <w:sz w:val="20"/>
        <w:szCs w:val="20"/>
      </w:rPr>
      <w:t>p</w:t>
    </w:r>
    <w:proofErr w:type="gramEnd"/>
    <w:r w:rsidRPr="00BB1327">
      <w:rPr>
        <w:rFonts w:ascii="Times New Roman" w:hAnsi="Times New Roman"/>
        <w:spacing w:val="40"/>
        <w:sz w:val="20"/>
        <w:szCs w:val="20"/>
      </w:rPr>
      <w:t xml:space="preserve"> (914) 219-5880 </w:t>
    </w:r>
    <w:r w:rsidRPr="00BB1327">
      <w:rPr>
        <w:rFonts w:ascii="Times New Roman" w:hAnsi="Times New Roman"/>
        <w:b/>
        <w:color w:val="943634"/>
        <w:spacing w:val="40"/>
        <w:sz w:val="20"/>
        <w:szCs w:val="20"/>
      </w:rPr>
      <w:t xml:space="preserve">• </w:t>
    </w:r>
    <w:r w:rsidRPr="00BB1327">
      <w:rPr>
        <w:rFonts w:ascii="Times New Roman" w:hAnsi="Times New Roman"/>
        <w:color w:val="943634"/>
        <w:spacing w:val="40"/>
        <w:sz w:val="20"/>
        <w:szCs w:val="20"/>
      </w:rPr>
      <w:t xml:space="preserve">f </w:t>
    </w:r>
    <w:r w:rsidRPr="00BB1327">
      <w:rPr>
        <w:rFonts w:ascii="Times New Roman" w:hAnsi="Times New Roman"/>
        <w:spacing w:val="40"/>
        <w:sz w:val="20"/>
        <w:szCs w:val="20"/>
      </w:rPr>
      <w:t>(914) 273-6806</w:t>
    </w:r>
  </w:p>
  <w:p w:rsidR="00D6042E" w:rsidRDefault="00D604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825D6B"/>
    <w:multiLevelType w:val="hybridMultilevel"/>
    <w:tmpl w:val="49AE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243DEA"/>
    <w:multiLevelType w:val="hybridMultilevel"/>
    <w:tmpl w:val="F33A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DA4A44"/>
    <w:multiLevelType w:val="hybridMultilevel"/>
    <w:tmpl w:val="CA4E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926"/>
    <w:rsid w:val="00003F66"/>
    <w:rsid w:val="000676E4"/>
    <w:rsid w:val="00072BA4"/>
    <w:rsid w:val="000C1926"/>
    <w:rsid w:val="001163E8"/>
    <w:rsid w:val="00130E73"/>
    <w:rsid w:val="00170FE8"/>
    <w:rsid w:val="0017758E"/>
    <w:rsid w:val="001B50C1"/>
    <w:rsid w:val="001C7222"/>
    <w:rsid w:val="001F203C"/>
    <w:rsid w:val="002174C9"/>
    <w:rsid w:val="00221200"/>
    <w:rsid w:val="002261AD"/>
    <w:rsid w:val="0025601A"/>
    <w:rsid w:val="002D174D"/>
    <w:rsid w:val="00347136"/>
    <w:rsid w:val="00366BCB"/>
    <w:rsid w:val="00385257"/>
    <w:rsid w:val="003B0738"/>
    <w:rsid w:val="003B58B5"/>
    <w:rsid w:val="00431C09"/>
    <w:rsid w:val="0046020D"/>
    <w:rsid w:val="004632F3"/>
    <w:rsid w:val="004B3693"/>
    <w:rsid w:val="005115B8"/>
    <w:rsid w:val="0052261D"/>
    <w:rsid w:val="005625F8"/>
    <w:rsid w:val="00567905"/>
    <w:rsid w:val="00573164"/>
    <w:rsid w:val="00593A26"/>
    <w:rsid w:val="005D424B"/>
    <w:rsid w:val="006958CF"/>
    <w:rsid w:val="006A3CD3"/>
    <w:rsid w:val="006C7F73"/>
    <w:rsid w:val="007013AE"/>
    <w:rsid w:val="00793C22"/>
    <w:rsid w:val="007E27DA"/>
    <w:rsid w:val="007E6137"/>
    <w:rsid w:val="007F2CD0"/>
    <w:rsid w:val="00861802"/>
    <w:rsid w:val="008E165F"/>
    <w:rsid w:val="00905479"/>
    <w:rsid w:val="00927848"/>
    <w:rsid w:val="00981563"/>
    <w:rsid w:val="009841BD"/>
    <w:rsid w:val="00986560"/>
    <w:rsid w:val="009C419B"/>
    <w:rsid w:val="009D7419"/>
    <w:rsid w:val="009E1A69"/>
    <w:rsid w:val="00A31240"/>
    <w:rsid w:val="00A61BB8"/>
    <w:rsid w:val="00A927A8"/>
    <w:rsid w:val="00AA6950"/>
    <w:rsid w:val="00AE62AC"/>
    <w:rsid w:val="00AE6369"/>
    <w:rsid w:val="00B160B8"/>
    <w:rsid w:val="00B24665"/>
    <w:rsid w:val="00B24927"/>
    <w:rsid w:val="00B66802"/>
    <w:rsid w:val="00B67B30"/>
    <w:rsid w:val="00B74226"/>
    <w:rsid w:val="00BB1327"/>
    <w:rsid w:val="00BB3A75"/>
    <w:rsid w:val="00BC54C1"/>
    <w:rsid w:val="00C01A6E"/>
    <w:rsid w:val="00C24FDA"/>
    <w:rsid w:val="00CF273E"/>
    <w:rsid w:val="00CF392A"/>
    <w:rsid w:val="00D046E7"/>
    <w:rsid w:val="00D136F4"/>
    <w:rsid w:val="00D30566"/>
    <w:rsid w:val="00D6042E"/>
    <w:rsid w:val="00D65CFC"/>
    <w:rsid w:val="00D66F66"/>
    <w:rsid w:val="00D808D6"/>
    <w:rsid w:val="00DA7A3C"/>
    <w:rsid w:val="00DE535D"/>
    <w:rsid w:val="00E45005"/>
    <w:rsid w:val="00E55784"/>
    <w:rsid w:val="00E65F7E"/>
    <w:rsid w:val="00E97612"/>
    <w:rsid w:val="00ED1F1B"/>
    <w:rsid w:val="00EE3C74"/>
    <w:rsid w:val="00F47E09"/>
    <w:rsid w:val="00F54E09"/>
    <w:rsid w:val="00F6125A"/>
    <w:rsid w:val="00FA65C9"/>
    <w:rsid w:val="00FC3CDE"/>
    <w:rsid w:val="00FD2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60"/>
    <w:rPr>
      <w:rFonts w:ascii="Calibri" w:eastAsia="Calibri" w:hAnsi="Calibri" w:cs="Times New Roman"/>
    </w:rPr>
  </w:style>
  <w:style w:type="paragraph" w:styleId="Heading2">
    <w:name w:val="heading 2"/>
    <w:basedOn w:val="Normal"/>
    <w:next w:val="Normal"/>
    <w:link w:val="Heading2Char"/>
    <w:uiPriority w:val="9"/>
    <w:semiHidden/>
    <w:unhideWhenUsed/>
    <w:qFormat/>
    <w:rsid w:val="00861802"/>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iPriority w:val="9"/>
    <w:semiHidden/>
    <w:unhideWhenUsed/>
    <w:qFormat/>
    <w:rsid w:val="00861802"/>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926"/>
  </w:style>
  <w:style w:type="paragraph" w:styleId="Footer">
    <w:name w:val="footer"/>
    <w:basedOn w:val="Normal"/>
    <w:link w:val="FooterChar"/>
    <w:uiPriority w:val="99"/>
    <w:unhideWhenUsed/>
    <w:rsid w:val="000C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26"/>
  </w:style>
  <w:style w:type="table" w:styleId="TableGrid">
    <w:name w:val="Table Grid"/>
    <w:basedOn w:val="TableNormal"/>
    <w:uiPriority w:val="59"/>
    <w:rsid w:val="000C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6802"/>
    <w:rPr>
      <w:color w:val="0000FF"/>
      <w:u w:val="single"/>
    </w:rPr>
  </w:style>
  <w:style w:type="paragraph" w:styleId="BalloonText">
    <w:name w:val="Balloon Text"/>
    <w:basedOn w:val="Normal"/>
    <w:link w:val="BalloonTextChar"/>
    <w:uiPriority w:val="99"/>
    <w:semiHidden/>
    <w:unhideWhenUsed/>
    <w:rsid w:val="004B3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693"/>
    <w:rPr>
      <w:rFonts w:ascii="Tahoma" w:hAnsi="Tahoma" w:cs="Tahoma"/>
      <w:sz w:val="16"/>
      <w:szCs w:val="16"/>
    </w:rPr>
  </w:style>
  <w:style w:type="paragraph" w:styleId="FootnoteText">
    <w:name w:val="footnote text"/>
    <w:basedOn w:val="Normal"/>
    <w:link w:val="FootnoteTextChar"/>
    <w:uiPriority w:val="99"/>
    <w:semiHidden/>
    <w:unhideWhenUsed/>
    <w:rsid w:val="00D66F66"/>
    <w:rPr>
      <w:sz w:val="20"/>
      <w:szCs w:val="20"/>
    </w:rPr>
  </w:style>
  <w:style w:type="character" w:customStyle="1" w:styleId="FootnoteTextChar">
    <w:name w:val="Footnote Text Char"/>
    <w:basedOn w:val="DefaultParagraphFont"/>
    <w:link w:val="FootnoteText"/>
    <w:uiPriority w:val="99"/>
    <w:semiHidden/>
    <w:rsid w:val="00D66F66"/>
    <w:rPr>
      <w:rFonts w:ascii="Calibri" w:eastAsia="Calibri" w:hAnsi="Calibri" w:cs="Times New Roman"/>
      <w:sz w:val="20"/>
      <w:szCs w:val="20"/>
    </w:rPr>
  </w:style>
  <w:style w:type="character" w:styleId="FootnoteReference">
    <w:name w:val="footnote reference"/>
    <w:uiPriority w:val="99"/>
    <w:semiHidden/>
    <w:unhideWhenUsed/>
    <w:rsid w:val="00D66F66"/>
    <w:rPr>
      <w:vertAlign w:val="superscript"/>
    </w:rPr>
  </w:style>
  <w:style w:type="paragraph" w:styleId="NoSpacing">
    <w:name w:val="No Spacing"/>
    <w:uiPriority w:val="1"/>
    <w:qFormat/>
    <w:rsid w:val="00D66F66"/>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861802"/>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861802"/>
    <w:rPr>
      <w:rFonts w:ascii="Calibri" w:eastAsia="Times New Roman" w:hAnsi="Calibri" w:cs="Times New Roman"/>
      <w:b/>
      <w:bCs/>
      <w:i/>
      <w:iCs/>
      <w:sz w:val="26"/>
      <w:szCs w:val="26"/>
    </w:rPr>
  </w:style>
  <w:style w:type="character" w:customStyle="1" w:styleId="apple-converted-space">
    <w:name w:val="apple-converted-space"/>
    <w:rsid w:val="00861802"/>
  </w:style>
  <w:style w:type="character" w:styleId="Strong">
    <w:name w:val="Strong"/>
    <w:uiPriority w:val="22"/>
    <w:qFormat/>
    <w:rsid w:val="00861802"/>
    <w:rPr>
      <w:b/>
      <w:bCs/>
    </w:rPr>
  </w:style>
  <w:style w:type="character" w:styleId="Emphasis">
    <w:name w:val="Emphasis"/>
    <w:uiPriority w:val="20"/>
    <w:qFormat/>
    <w:rsid w:val="00861802"/>
    <w:rPr>
      <w:i/>
      <w:iCs/>
    </w:rPr>
  </w:style>
  <w:style w:type="paragraph" w:styleId="NormalWeb">
    <w:name w:val="Normal (Web)"/>
    <w:basedOn w:val="Normal"/>
    <w:uiPriority w:val="99"/>
    <w:semiHidden/>
    <w:unhideWhenUsed/>
    <w:rsid w:val="002261AD"/>
    <w:pPr>
      <w:spacing w:after="300"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60"/>
    <w:rPr>
      <w:rFonts w:ascii="Calibri" w:eastAsia="Calibri" w:hAnsi="Calibri" w:cs="Times New Roman"/>
    </w:rPr>
  </w:style>
  <w:style w:type="paragraph" w:styleId="Heading2">
    <w:name w:val="heading 2"/>
    <w:basedOn w:val="Normal"/>
    <w:next w:val="Normal"/>
    <w:link w:val="Heading2Char"/>
    <w:uiPriority w:val="9"/>
    <w:semiHidden/>
    <w:unhideWhenUsed/>
    <w:qFormat/>
    <w:rsid w:val="00861802"/>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iPriority w:val="9"/>
    <w:semiHidden/>
    <w:unhideWhenUsed/>
    <w:qFormat/>
    <w:rsid w:val="00861802"/>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926"/>
  </w:style>
  <w:style w:type="paragraph" w:styleId="Footer">
    <w:name w:val="footer"/>
    <w:basedOn w:val="Normal"/>
    <w:link w:val="FooterChar"/>
    <w:uiPriority w:val="99"/>
    <w:unhideWhenUsed/>
    <w:rsid w:val="000C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26"/>
  </w:style>
  <w:style w:type="table" w:styleId="TableGrid">
    <w:name w:val="Table Grid"/>
    <w:basedOn w:val="TableNormal"/>
    <w:uiPriority w:val="59"/>
    <w:rsid w:val="000C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6802"/>
    <w:rPr>
      <w:color w:val="0000FF"/>
      <w:u w:val="single"/>
    </w:rPr>
  </w:style>
  <w:style w:type="paragraph" w:styleId="BalloonText">
    <w:name w:val="Balloon Text"/>
    <w:basedOn w:val="Normal"/>
    <w:link w:val="BalloonTextChar"/>
    <w:uiPriority w:val="99"/>
    <w:semiHidden/>
    <w:unhideWhenUsed/>
    <w:rsid w:val="004B3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693"/>
    <w:rPr>
      <w:rFonts w:ascii="Tahoma" w:hAnsi="Tahoma" w:cs="Tahoma"/>
      <w:sz w:val="16"/>
      <w:szCs w:val="16"/>
    </w:rPr>
  </w:style>
  <w:style w:type="paragraph" w:styleId="FootnoteText">
    <w:name w:val="footnote text"/>
    <w:basedOn w:val="Normal"/>
    <w:link w:val="FootnoteTextChar"/>
    <w:uiPriority w:val="99"/>
    <w:semiHidden/>
    <w:unhideWhenUsed/>
    <w:rsid w:val="00D66F66"/>
    <w:rPr>
      <w:sz w:val="20"/>
      <w:szCs w:val="20"/>
    </w:rPr>
  </w:style>
  <w:style w:type="character" w:customStyle="1" w:styleId="FootnoteTextChar">
    <w:name w:val="Footnote Text Char"/>
    <w:basedOn w:val="DefaultParagraphFont"/>
    <w:link w:val="FootnoteText"/>
    <w:uiPriority w:val="99"/>
    <w:semiHidden/>
    <w:rsid w:val="00D66F66"/>
    <w:rPr>
      <w:rFonts w:ascii="Calibri" w:eastAsia="Calibri" w:hAnsi="Calibri" w:cs="Times New Roman"/>
      <w:sz w:val="20"/>
      <w:szCs w:val="20"/>
    </w:rPr>
  </w:style>
  <w:style w:type="character" w:styleId="FootnoteReference">
    <w:name w:val="footnote reference"/>
    <w:uiPriority w:val="99"/>
    <w:semiHidden/>
    <w:unhideWhenUsed/>
    <w:rsid w:val="00D66F66"/>
    <w:rPr>
      <w:vertAlign w:val="superscript"/>
    </w:rPr>
  </w:style>
  <w:style w:type="paragraph" w:styleId="NoSpacing">
    <w:name w:val="No Spacing"/>
    <w:uiPriority w:val="1"/>
    <w:qFormat/>
    <w:rsid w:val="00D66F66"/>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861802"/>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861802"/>
    <w:rPr>
      <w:rFonts w:ascii="Calibri" w:eastAsia="Times New Roman" w:hAnsi="Calibri" w:cs="Times New Roman"/>
      <w:b/>
      <w:bCs/>
      <w:i/>
      <w:iCs/>
      <w:sz w:val="26"/>
      <w:szCs w:val="26"/>
    </w:rPr>
  </w:style>
  <w:style w:type="character" w:customStyle="1" w:styleId="apple-converted-space">
    <w:name w:val="apple-converted-space"/>
    <w:rsid w:val="00861802"/>
  </w:style>
  <w:style w:type="character" w:styleId="Strong">
    <w:name w:val="Strong"/>
    <w:uiPriority w:val="22"/>
    <w:qFormat/>
    <w:rsid w:val="00861802"/>
    <w:rPr>
      <w:b/>
      <w:bCs/>
    </w:rPr>
  </w:style>
  <w:style w:type="character" w:styleId="Emphasis">
    <w:name w:val="Emphasis"/>
    <w:uiPriority w:val="20"/>
    <w:qFormat/>
    <w:rsid w:val="00861802"/>
    <w:rPr>
      <w:i/>
      <w:iCs/>
    </w:rPr>
  </w:style>
  <w:style w:type="paragraph" w:styleId="NormalWeb">
    <w:name w:val="Normal (Web)"/>
    <w:basedOn w:val="Normal"/>
    <w:uiPriority w:val="99"/>
    <w:semiHidden/>
    <w:unhideWhenUsed/>
    <w:rsid w:val="002261AD"/>
    <w:pPr>
      <w:spacing w:after="30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62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NY.GDP.MKTP.CD" TargetMode="External"/><Relationship Id="rId13" Type="http://schemas.openxmlformats.org/officeDocument/2006/relationships/hyperlink" Target="https://www.bloomberg.com/news/articles/2019-07-23/quantitative-tightening-to-end-as-central-banks-sound-retreat" TargetMode="External"/><Relationship Id="rId18" Type="http://schemas.openxmlformats.org/officeDocument/2006/relationships/hyperlink" Target="https://www.bis.org/publ/qtrpdf/r_qt1809g.pdf" TargetMode="External"/><Relationship Id="rId3" Type="http://schemas.openxmlformats.org/officeDocument/2006/relationships/hyperlink" Target="https://www.fa-mag.com/news/a-bottoming-process-begins--10-themes-to-consider-54669.html" TargetMode="External"/><Relationship Id="rId7" Type="http://schemas.openxmlformats.org/officeDocument/2006/relationships/hyperlink" Target="https://www.cnbc.com/2020/01/14/global-debt-hits-all-time-high-of-nearly-253-dollars--iif-says.html" TargetMode="External"/><Relationship Id="rId12" Type="http://schemas.openxmlformats.org/officeDocument/2006/relationships/hyperlink" Target="https://www.troweprice.com/financial-intermediary/us/en/insights/articles/2018/q4/quarterly-market-review.html?cid=BD_TP6A_BD_Play2&amp;bid=128904226&amp;PlacementGUID=em_USI_USI_MktActivation_Play2_MonthlyMarket_E6-BD_TP6A_BD_Play2_20190123" TargetMode="External"/><Relationship Id="rId17" Type="http://schemas.openxmlformats.org/officeDocument/2006/relationships/hyperlink" Target="https://www.cnn.com/2019/03/31/investing/stocks-week-ahead-zombie-companies-debt/index.html" TargetMode="External"/><Relationship Id="rId2" Type="http://schemas.openxmlformats.org/officeDocument/2006/relationships/hyperlink" Target="https://www.gsam.com/content/gsam/us/en/advisors/market-insights.html" TargetMode="External"/><Relationship Id="rId16" Type="http://schemas.openxmlformats.org/officeDocument/2006/relationships/hyperlink" Target="https://www.bis.org/publ/otc_hy1911.htm" TargetMode="External"/><Relationship Id="rId1" Type="http://schemas.openxmlformats.org/officeDocument/2006/relationships/hyperlink" Target="https://app.hedgeye.com/insights/80789-cartoon-of-the-day-sanitary?type=cartoons" TargetMode="External"/><Relationship Id="rId6" Type="http://schemas.openxmlformats.org/officeDocument/2006/relationships/hyperlink" Target="https://en.wikipedia.org/wiki/Institute_of_International_Finance" TargetMode="External"/><Relationship Id="rId11" Type="http://schemas.openxmlformats.org/officeDocument/2006/relationships/hyperlink" Target="https://www.advisorperspectives.com/articles/2020/03/24/preliminary-thoughts-the-new-world-order" TargetMode="External"/><Relationship Id="rId5" Type="http://schemas.openxmlformats.org/officeDocument/2006/relationships/hyperlink" Target="https://www.oaktreecapital.com/insights/howard-marks-memos" TargetMode="External"/><Relationship Id="rId15" Type="http://schemas.openxmlformats.org/officeDocument/2006/relationships/hyperlink" Target="https://www.washingtonpost.com/business/on-small-business/the-feds-cure-risks-being-worse-than-the-disease/2020/03/27/56357a52-7023-11ea-a156-0048b62cdb51_story.html" TargetMode="External"/><Relationship Id="rId10" Type="http://schemas.openxmlformats.org/officeDocument/2006/relationships/hyperlink" Target="https://www.ft.com/content/9ac5eb8e-4167-4a54-9b39-dab48c29ac6c" TargetMode="External"/><Relationship Id="rId19" Type="http://schemas.openxmlformats.org/officeDocument/2006/relationships/hyperlink" Target="https://seekingalpha.com/article/4279910-for-small-caps-index-multiples-obscure-risks" TargetMode="External"/><Relationship Id="rId4" Type="http://schemas.openxmlformats.org/officeDocument/2006/relationships/hyperlink" Target="https://www.cnbc.com/2020/03/31/stock-market-today-live.html" TargetMode="External"/><Relationship Id="rId9" Type="http://schemas.openxmlformats.org/officeDocument/2006/relationships/hyperlink" Target="https://snbchf.com/2018/02/skoyles-debt-crisis-ii-cometh/goldcore_chart4_14-05-15-png/" TargetMode="External"/><Relationship Id="rId14" Type="http://schemas.openxmlformats.org/officeDocument/2006/relationships/hyperlink" Target="https://wolfstreet.com/2020/04/09/qe-4-cut-in-half-this-week-but-still-1-8-tn-helicopter-money-for-wall-street-and-wealthy-in-4-weeks-of-federal-reserve-balance-sheet-money-printing-and-bailout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Jason@KatonahCapital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3220</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Newman</dc:creator>
  <cp:lastModifiedBy>Jason Waxler</cp:lastModifiedBy>
  <cp:revision>6</cp:revision>
  <cp:lastPrinted>2020-04-16T19:37:00Z</cp:lastPrinted>
  <dcterms:created xsi:type="dcterms:W3CDTF">2020-04-16T19:37:00Z</dcterms:created>
  <dcterms:modified xsi:type="dcterms:W3CDTF">2020-04-16T20:01:00Z</dcterms:modified>
</cp:coreProperties>
</file>